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portant interdiction de circuler sur le domaine public : travaux de réfection de la couche de roulement</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travaux de réfection de la couche de roulement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des travaux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mesure est limitée à la durée et à l’emprise strictement nécessaires au déroulement des travaux ; qu’il y a lieu de maintenir la desserte des immeubles riverains, l’accès des véhicules de secours et de lutte contre l’incendie ainsi que la collecte des ordures ménagères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travaux de réfection de la couche de roulement.</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Interdiction de circuler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circulation de tous les véhicules est interdite [voie à préciser], riverains non compris. La circulation est rétablie en dehors des heures d’activité indiquées ci-dessus.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du chantier pendant toute la durée de la mesure, à l’exception des véhicules qui y sont affectés.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20 mètres au moins en amont de l’emprise, dans chaque sens de circulation ; posé sur le trottoir à 0,50 mètre du bord de chaussée en laissant au moins 0,90 mètre libre aux piétons, et sur la chaussée à défaut ; KC1 portant la mention « ROUTE BARRÉE », à 10 mètres au moins en amont de l’emprise, dans chaque sens de circulation. Signalisation de position : K2 portant la mention « FIN DE CHANTIER », en barrage frontal à l’origine de la section barrée ; seul le dernier barrage porte la mention à son revers ; KC1 portant la mention « ROUTE BARRÉE », au droit du barrage ; B1 portant la mention « SAUF RIVERAINS », au droit du barrage. La mise en place et la maintenance de la signalisation de restriction et de protection de l’emprise du chantier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du chantier.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