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0" w:after="0" w:line="372" w:lineRule="auto"/>
        <w:jc w:val="center"/>
        <w:rPr>
          <w:rFonts w:ascii="Times New Roman" w:hAnsi="Times New Roman" w:cs="Times New Roman"/>
          <w:b/>
          <w:spacing w:val="18"/>
          <w:sz w:val="20"/>
          <w:szCs w:val="20"/>
        </w:rPr>
      </w:pPr>
      <w:r>
        <w:rPr>
          <w:rFonts w:ascii="Times New Roman" w:hAnsi="Times New Roman" w:cs="Times New Roman"/>
          <w:b/>
          <w:spacing w:val="18"/>
          <w:sz w:val="20"/>
          <w:szCs w:val="20"/>
        </w:rPr>
        <w:t xml:space="preserve">RÉPUBLIQUE FRANÇAISE</w:t>
      </w:r>
    </w:p>
    <w:p>
      <w:pPr>
        <w:pBdr>
          <w:bottom w:val="single" w:sz="12" w:space="4" w:color="111827"/>
        </w:pBdr>
        <w:spacing w:before="60" w:after="0" w:line="372" w:lineRule="auto"/>
        <w:jc w:val="center"/>
        <w:rPr>
          <w:rFonts w:ascii="Times New Roman" w:hAnsi="Times New Roman" w:cs="Times New Roman"/>
          <w:b/>
          <w:spacing w:val="6"/>
          <w:sz w:val="26"/>
          <w:szCs w:val="26"/>
        </w:rPr>
      </w:pPr>
      <w:r>
        <w:rPr>
          <w:rFonts w:ascii="Times New Roman" w:hAnsi="Times New Roman" w:cs="Times New Roman"/>
          <w:b/>
          <w:spacing w:val="6"/>
          <w:sz w:val="26"/>
          <w:szCs w:val="26"/>
        </w:rPr>
        <w:t xml:space="preserve">DÉPARTEMENT DU [DÉPARTEMENT]</w:t>
      </w:r>
    </w:p>
    <w:p>
      <w:pPr>
        <w:tabs>
          <w:tab w:val="right" w:pos="9638"/>
        </w:tabs>
        <w:spacing w:before="180" w:after="0" w:line="372" w:lineRule="auto"/>
        <w:jc w:val="left"/>
        <w:rPr>
          <w:rFonts w:ascii="Times New Roman" w:hAnsi="Times New Roman" w:cs="Times New Roman"/>
          <w:color w:val="4b5563"/>
          <w:sz w:val="18"/>
          <w:szCs w:val="18"/>
        </w:rPr>
      </w:pPr>
      <w:r>
        <w:rPr>
          <w:rFonts w:ascii="Times New Roman" w:hAnsi="Times New Roman" w:cs="Times New Roman"/>
          <w:color w:val="4b5563"/>
          <w:sz w:val="18"/>
          <w:szCs w:val="18"/>
        </w:rPr>
        <w:t xml:space="preserve">Arrêté n° [numéro à attribuer]</w:t>
      </w:r>
      <w:r>
        <w:rPr>
          <w:rFonts w:ascii="Times New Roman" w:hAnsi="Times New Roman" w:cs="Times New Roman"/>
          <w:color w:val="4b5563"/>
          <w:sz w:val="18"/>
          <w:szCs w:val="18"/>
        </w:rPr>
        <w:tab/>
        <w:t xml:space="preserve">Nomenclature 8.3 Voirie</w:t>
      </w:r>
    </w:p>
    <w:p>
      <w:pPr>
        <w:spacing w:before="360" w:after="0" w:line="372" w:lineRule="auto"/>
        <w:jc w:val="center"/>
        <w:rPr>
          <w:rFonts w:ascii="Times New Roman" w:hAnsi="Times New Roman" w:cs="Times New Roman"/>
          <w:b/>
          <w:caps/>
          <w:spacing w:val="6"/>
          <w:sz w:val="22"/>
          <w:szCs w:val="22"/>
        </w:rPr>
      </w:pPr>
      <w:r>
        <w:rPr>
          <w:rFonts w:ascii="Times New Roman" w:hAnsi="Times New Roman" w:cs="Times New Roman"/>
          <w:b/>
          <w:caps/>
          <w:spacing w:val="6"/>
          <w:sz w:val="22"/>
          <w:szCs w:val="22"/>
        </w:rPr>
        <w:t xml:space="preserve">Arrêté temporaire réglementant la circulation sur le domaine public : travaux de réfection de la chaussée en enrobés</w:t>
      </w:r>
    </w:p>
    <w:p>
      <w:pPr>
        <w:spacing w:before="300" w:after="0" w:line="372" w:lineRule="auto"/>
        <w:ind w:left="400" w:hanging="400"/>
        <w:jc w:val="both"/>
        <w:rPr>
          <w:rFonts w:ascii="Times New Roman" w:hAnsi="Times New Roman" w:cs="Times New Roman"/>
          <w:sz w:val="22"/>
          <w:szCs w:val="22"/>
        </w:rPr>
      </w:pPr>
      <w:r>
        <w:rPr>
          <w:rFonts w:ascii="Times New Roman" w:hAnsi="Times New Roman" w:cs="Times New Roman"/>
          <w:sz w:val="22"/>
          <w:szCs w:val="22"/>
        </w:rPr>
        <w:t xml:space="preserve">VU l’article L3221-4 du code général des collectivités territoriales ;</w:t>
      </w:r>
    </w:p>
    <w:p>
      <w:pPr>
        <w:spacing w:before="60" w:after="0" w:line="372" w:lineRule="auto"/>
        <w:ind w:left="400" w:hanging="400"/>
        <w:jc w:val="both"/>
        <w:rPr>
          <w:rFonts w:ascii="Times New Roman" w:hAnsi="Times New Roman" w:cs="Times New Roman"/>
          <w:sz w:val="22"/>
          <w:szCs w:val="22"/>
        </w:rPr>
      </w:pPr>
      <w:r>
        <w:rPr>
          <w:rFonts w:ascii="Times New Roman" w:hAnsi="Times New Roman" w:cs="Times New Roman"/>
          <w:sz w:val="22"/>
          <w:szCs w:val="22"/>
        </w:rPr>
        <w:t xml:space="preserve">VU l’article L411-1 du code de la route ;</w:t>
      </w:r>
    </w:p>
    <w:p>
      <w:pPr>
        <w:spacing w:before="60" w:after="0" w:line="372" w:lineRule="auto"/>
        <w:ind w:left="400" w:hanging="400"/>
        <w:jc w:val="both"/>
        <w:rPr>
          <w:rFonts w:ascii="Times New Roman" w:hAnsi="Times New Roman" w:cs="Times New Roman"/>
          <w:sz w:val="22"/>
          <w:szCs w:val="22"/>
        </w:rPr>
      </w:pPr>
      <w:r>
        <w:rPr>
          <w:rFonts w:ascii="Times New Roman" w:hAnsi="Times New Roman" w:cs="Times New Roman"/>
          <w:sz w:val="22"/>
          <w:szCs w:val="22"/>
        </w:rPr>
        <w:t xml:space="preserve">VU l’article R110-2 du code de la route ;</w:t>
      </w:r>
    </w:p>
    <w:p>
      <w:pPr>
        <w:spacing w:before="60" w:after="0" w:line="372" w:lineRule="auto"/>
        <w:ind w:left="400" w:hanging="400"/>
        <w:jc w:val="both"/>
        <w:rPr>
          <w:rFonts w:ascii="Times New Roman" w:hAnsi="Times New Roman" w:cs="Times New Roman"/>
          <w:sz w:val="22"/>
          <w:szCs w:val="22"/>
        </w:rPr>
      </w:pPr>
      <w:r>
        <w:rPr>
          <w:rFonts w:ascii="Times New Roman" w:hAnsi="Times New Roman" w:cs="Times New Roman"/>
          <w:sz w:val="22"/>
          <w:szCs w:val="22"/>
        </w:rPr>
        <w:t xml:space="preserve">VU l’article R411-25 du code de la route ;</w:t>
      </w:r>
    </w:p>
    <w:p>
      <w:pPr>
        <w:spacing w:before="60" w:after="0" w:line="372" w:lineRule="auto"/>
        <w:ind w:left="400" w:hanging="400"/>
        <w:jc w:val="both"/>
        <w:rPr>
          <w:rFonts w:ascii="Times New Roman" w:hAnsi="Times New Roman" w:cs="Times New Roman"/>
          <w:sz w:val="22"/>
          <w:szCs w:val="22"/>
        </w:rPr>
      </w:pPr>
      <w:r>
        <w:rPr>
          <w:rFonts w:ascii="Times New Roman" w:hAnsi="Times New Roman" w:cs="Times New Roman"/>
          <w:sz w:val="22"/>
          <w:szCs w:val="22"/>
        </w:rPr>
        <w:t xml:space="preserve">VU l’arrêté interministériel du 24 novembre 1967 modifié relatif à la signalisation des routes et autoroutes ;</w:t>
      </w:r>
    </w:p>
    <w:p>
      <w:pPr>
        <w:spacing w:before="60" w:after="0" w:line="372" w:lineRule="auto"/>
        <w:ind w:left="400" w:hanging="400"/>
        <w:jc w:val="both"/>
        <w:rPr>
          <w:rFonts w:ascii="Times New Roman" w:hAnsi="Times New Roman" w:cs="Times New Roman"/>
          <w:sz w:val="22"/>
          <w:szCs w:val="22"/>
        </w:rPr>
      </w:pPr>
      <w:r>
        <w:rPr>
          <w:rFonts w:ascii="Times New Roman" w:hAnsi="Times New Roman" w:cs="Times New Roman"/>
          <w:sz w:val="22"/>
          <w:szCs w:val="22"/>
        </w:rPr>
        <w:t xml:space="preserve">VU l’instruction interministérielle sur la signalisation routière, 8ᵉ partie « signalisation temporaire », approuvée par l’arrêté du 6 novembre 1992 modifié, dans sa version consolidée au 4 septembre 2025 ;</w:t>
      </w:r>
    </w:p>
    <w:p>
      <w:pPr>
        <w:spacing w:before="60" w:after="0" w:line="372" w:lineRule="auto"/>
        <w:ind w:left="400" w:hanging="400"/>
        <w:jc w:val="both"/>
        <w:rPr>
          <w:rFonts w:ascii="Times New Roman" w:hAnsi="Times New Roman" w:cs="Times New Roman"/>
          <w:sz w:val="22"/>
          <w:szCs w:val="22"/>
        </w:rPr>
      </w:pPr>
      <w:r>
        <w:rPr>
          <w:rFonts w:ascii="Times New Roman" w:hAnsi="Times New Roman" w:cs="Times New Roman"/>
          <w:sz w:val="22"/>
          <w:szCs w:val="22"/>
        </w:rPr>
        <w:t xml:space="preserve">VU le règlement de voirie départemental en vigueur ;</w:t>
      </w:r>
    </w:p>
    <w:p>
      <w:pPr>
        <w:spacing w:before="60" w:after="0" w:line="372" w:lineRule="auto"/>
        <w:ind w:left="400" w:hanging="400"/>
        <w:jc w:val="both"/>
        <w:rPr>
          <w:rFonts w:ascii="Times New Roman" w:hAnsi="Times New Roman" w:cs="Times New Roman"/>
          <w:sz w:val="22"/>
          <w:szCs w:val="22"/>
        </w:rPr>
      </w:pPr>
      <w:r>
        <w:rPr>
          <w:rFonts w:ascii="Times New Roman" w:hAnsi="Times New Roman" w:cs="Times New Roman"/>
          <w:sz w:val="22"/>
          <w:szCs w:val="22"/>
        </w:rPr>
        <w:t xml:space="preserve">VU la demande formulée par l’entreprise [nom du bénéficiaire], ayant pour objet : travaux de réfection de la chaussée en enrobés ;</w:t>
      </w:r>
    </w:p>
    <w:p>
      <w:pPr>
        <w:spacing w:before="240" w:after="0" w:line="372" w:lineRule="auto"/>
        <w:ind w:left="400" w:hanging="400"/>
        <w:jc w:val="both"/>
        <w:rPr>
          <w:rFonts w:ascii="Times New Roman" w:hAnsi="Times New Roman" w:cs="Times New Roman"/>
          <w:sz w:val="22"/>
          <w:szCs w:val="22"/>
        </w:rPr>
      </w:pPr>
      <w:r>
        <w:rPr>
          <w:rFonts w:ascii="Times New Roman" w:hAnsi="Times New Roman" w:cs="Times New Roman"/>
          <w:sz w:val="22"/>
          <w:szCs w:val="22"/>
        </w:rPr>
        <w:t xml:space="preserve">Considérant que la section concernée par les travaux est située hors agglomération ;</w:t>
      </w:r>
    </w:p>
    <w:p>
      <w:pPr>
        <w:spacing w:before="60" w:after="0" w:line="372" w:lineRule="auto"/>
        <w:ind w:left="400" w:hanging="400"/>
        <w:jc w:val="both"/>
        <w:rPr>
          <w:rFonts w:ascii="Times New Roman" w:hAnsi="Times New Roman" w:cs="Times New Roman"/>
          <w:sz w:val="22"/>
          <w:szCs w:val="22"/>
        </w:rPr>
      </w:pPr>
      <w:r>
        <w:rPr>
          <w:rFonts w:ascii="Times New Roman" w:hAnsi="Times New Roman" w:cs="Times New Roman"/>
          <w:sz w:val="22"/>
          <w:szCs w:val="22"/>
        </w:rPr>
        <w:t xml:space="preserve">Considérant que la configuration des lieux, la nature des travaux et leur empiètement sur le domaine public routier nécessitent, pour garantir les meilleures conditions de sécurité des usagers et des personnes présentes, la modification de l’organisation de la circulation et du stationnement sur cette section ;</w:t>
      </w:r>
    </w:p>
    <w:p>
      <w:pPr>
        <w:spacing w:before="60" w:after="0" w:line="372" w:lineRule="auto"/>
        <w:ind w:left="400" w:hanging="400"/>
        <w:jc w:val="both"/>
        <w:rPr>
          <w:rFonts w:ascii="Times New Roman" w:hAnsi="Times New Roman" w:cs="Times New Roman"/>
          <w:sz w:val="22"/>
          <w:szCs w:val="22"/>
        </w:rPr>
      </w:pPr>
      <w:r>
        <w:rPr>
          <w:rFonts w:ascii="Times New Roman" w:hAnsi="Times New Roman" w:cs="Times New Roman"/>
          <w:sz w:val="22"/>
          <w:szCs w:val="22"/>
        </w:rPr>
        <w:t xml:space="preserve">Considérant que rien ne s’oppose à ce qu’il soit fait droit à la demande présentée par l’entreprise [nom du bénéficiaire] ;</w:t>
      </w:r>
    </w:p>
    <w:p>
      <w:pPr>
        <w:spacing w:before="300" w:after="0" w:line="372" w:lineRule="auto"/>
        <w:jc w:val="center"/>
        <w:rPr>
          <w:rFonts w:ascii="Times New Roman" w:hAnsi="Times New Roman" w:cs="Times New Roman"/>
          <w:b/>
          <w:spacing w:val="48"/>
          <w:sz w:val="22"/>
          <w:szCs w:val="22"/>
        </w:rPr>
      </w:pPr>
      <w:r>
        <w:rPr>
          <w:rFonts w:ascii="Times New Roman" w:hAnsi="Times New Roman" w:cs="Times New Roman"/>
          <w:b/>
          <w:spacing w:val="48"/>
          <w:sz w:val="22"/>
          <w:szCs w:val="22"/>
        </w:rPr>
        <w:t xml:space="preserve">ARRÊTE</w:t>
      </w:r>
    </w:p>
    <w:p>
      <w:pPr>
        <w:spacing w:before="300" w:after="0" w:line="372" w:lineRule="auto"/>
        <w:jc w:val="left"/>
        <w:rPr>
          <w:rFonts w:ascii="Times New Roman" w:hAnsi="Times New Roman" w:cs="Times New Roman"/>
          <w:b/>
          <w:sz w:val="22"/>
          <w:szCs w:val="22"/>
        </w:rPr>
      </w:pPr>
      <w:r>
        <w:rPr>
          <w:rFonts w:ascii="Times New Roman" w:hAnsi="Times New Roman" w:cs="Times New Roman"/>
          <w:b/>
          <w:sz w:val="22"/>
          <w:szCs w:val="22"/>
        </w:rPr>
        <w:t xml:space="preserve">Article 1er : Objet</w:t>
      </w:r>
    </w:p>
    <w:p>
      <w:pPr>
        <w:spacing w:before="0" w:after="0" w:line="372" w:lineRule="auto"/>
        <w:jc w:val="both"/>
        <w:rPr>
          <w:rFonts w:ascii="Times New Roman" w:hAnsi="Times New Roman" w:cs="Times New Roman"/>
          <w:sz w:val="22"/>
          <w:szCs w:val="22"/>
        </w:rPr>
      </w:pPr>
      <w:r>
        <w:rPr>
          <w:rFonts w:ascii="Times New Roman" w:hAnsi="Times New Roman" w:cs="Times New Roman"/>
          <w:sz w:val="22"/>
          <w:szCs w:val="22"/>
        </w:rPr>
        <w:t xml:space="preserve">Du [date de début] au [date de fin] inclus, de [heure de début] à [heure de fin], la circulation est réglementée [voie à préciser], sur le territoire de la commune de [commune], en raison de travaux de réfection de la chaussée en enrobés.</w:t>
      </w:r>
    </w:p>
    <w:p>
      <w:pPr>
        <w:spacing w:before="180" w:after="0" w:line="372" w:lineRule="auto"/>
        <w:jc w:val="left"/>
        <w:rPr>
          <w:rFonts w:ascii="Times New Roman" w:hAnsi="Times New Roman" w:cs="Times New Roman"/>
          <w:b/>
          <w:sz w:val="22"/>
          <w:szCs w:val="22"/>
        </w:rPr>
      </w:pPr>
      <w:r>
        <w:rPr>
          <w:rFonts w:ascii="Times New Roman" w:hAnsi="Times New Roman" w:cs="Times New Roman"/>
          <w:b/>
          <w:sz w:val="22"/>
          <w:szCs w:val="22"/>
        </w:rPr>
        <w:t xml:space="preserve">Article 2 : Circulation alternée</w:t>
      </w:r>
    </w:p>
    <w:p>
      <w:pPr>
        <w:spacing w:before="0" w:after="0" w:line="372" w:lineRule="auto"/>
        <w:jc w:val="both"/>
        <w:rPr>
          <w:rFonts w:ascii="Times New Roman" w:hAnsi="Times New Roman" w:cs="Times New Roman"/>
          <w:sz w:val="22"/>
          <w:szCs w:val="22"/>
        </w:rPr>
      </w:pPr>
      <w:r>
        <w:rPr>
          <w:rFonts w:ascii="Times New Roman" w:hAnsi="Times New Roman" w:cs="Times New Roman"/>
          <w:sz w:val="22"/>
          <w:szCs w:val="22"/>
        </w:rPr>
        <w:t xml:space="preserve">La circulation est réduite à une seule voie. L’alternat est réglé par signaux tricolores d’alternat temporaire KR11j et KR11v. Au cas où la régulation automatique déséquilibrerait par trop les files d’attente, un alternat manuel est mis en place. Les dépassements sont interdits sur l’emprise du chantier, quelles que soient les voies laissées libres à la circulation. La circulation est rétablie en dehors des heures d’activité indiquées ci-dessus.</w:t>
      </w:r>
    </w:p>
    <w:p>
      <w:pPr>
        <w:spacing w:before="180" w:after="0" w:line="372" w:lineRule="auto"/>
        <w:jc w:val="left"/>
        <w:rPr>
          <w:rFonts w:ascii="Times New Roman" w:hAnsi="Times New Roman" w:cs="Times New Roman"/>
          <w:b/>
          <w:sz w:val="22"/>
          <w:szCs w:val="22"/>
        </w:rPr>
      </w:pPr>
      <w:r>
        <w:rPr>
          <w:rFonts w:ascii="Times New Roman" w:hAnsi="Times New Roman" w:cs="Times New Roman"/>
          <w:b/>
          <w:sz w:val="22"/>
          <w:szCs w:val="22"/>
        </w:rPr>
        <w:t xml:space="preserve">Article 3 : Vitesse</w:t>
      </w:r>
    </w:p>
    <w:p>
      <w:pPr>
        <w:spacing w:before="0" w:after="0" w:line="372" w:lineRule="auto"/>
        <w:jc w:val="both"/>
        <w:rPr>
          <w:rFonts w:ascii="Times New Roman" w:hAnsi="Times New Roman" w:cs="Times New Roman"/>
          <w:sz w:val="22"/>
          <w:szCs w:val="22"/>
        </w:rPr>
      </w:pPr>
      <w:r>
        <w:rPr>
          <w:rFonts w:ascii="Times New Roman" w:hAnsi="Times New Roman" w:cs="Times New Roman"/>
          <w:sz w:val="22"/>
          <w:szCs w:val="22"/>
        </w:rPr>
        <w:t xml:space="preserve">La vitesse de tous les véhicules est limitée à 50 km/h au droit des travaux, [voie à préciser]. Cette limitation est précédée, en amont des travaux, d’une limitation intermédiaire à 70 km/h.</w:t>
      </w:r>
    </w:p>
    <w:p>
      <w:pPr>
        <w:spacing w:before="180" w:after="0" w:line="372" w:lineRule="auto"/>
        <w:jc w:val="left"/>
        <w:rPr>
          <w:rFonts w:ascii="Times New Roman" w:hAnsi="Times New Roman" w:cs="Times New Roman"/>
          <w:b/>
          <w:sz w:val="22"/>
          <w:szCs w:val="22"/>
        </w:rPr>
      </w:pPr>
      <w:r>
        <w:rPr>
          <w:rFonts w:ascii="Times New Roman" w:hAnsi="Times New Roman" w:cs="Times New Roman"/>
          <w:b/>
          <w:sz w:val="22"/>
          <w:szCs w:val="22"/>
        </w:rPr>
        <w:t xml:space="preserve">Article 4 : Stationnement</w:t>
      </w:r>
    </w:p>
    <w:p>
      <w:pPr>
        <w:spacing w:before="0" w:after="0" w:line="372" w:lineRule="auto"/>
        <w:jc w:val="both"/>
        <w:rPr>
          <w:rFonts w:ascii="Times New Roman" w:hAnsi="Times New Roman" w:cs="Times New Roman"/>
          <w:sz w:val="22"/>
          <w:szCs w:val="22"/>
        </w:rPr>
      </w:pPr>
      <w:r>
        <w:rPr>
          <w:rFonts w:ascii="Times New Roman" w:hAnsi="Times New Roman" w:cs="Times New Roman"/>
          <w:sz w:val="22"/>
          <w:szCs w:val="22"/>
        </w:rPr>
        <w:t xml:space="preserve">Le stationnement est interdit sur l’emprise du chantier pendant toute la durée de la mesure, à l’exception des véhicules qui y sont affectés.</w:t>
      </w:r>
    </w:p>
    <w:p>
      <w:pPr>
        <w:spacing w:before="180" w:after="0" w:line="372" w:lineRule="auto"/>
        <w:jc w:val="left"/>
        <w:rPr>
          <w:rFonts w:ascii="Times New Roman" w:hAnsi="Times New Roman" w:cs="Times New Roman"/>
          <w:b/>
          <w:sz w:val="22"/>
          <w:szCs w:val="22"/>
        </w:rPr>
      </w:pPr>
      <w:r>
        <w:rPr>
          <w:rFonts w:ascii="Times New Roman" w:hAnsi="Times New Roman" w:cs="Times New Roman"/>
          <w:b/>
          <w:sz w:val="22"/>
          <w:szCs w:val="22"/>
        </w:rPr>
        <w:t xml:space="preserve">Article 5 : Signalisation</w:t>
      </w:r>
    </w:p>
    <w:p>
      <w:pPr>
        <w:spacing w:before="0" w:after="0" w:line="372" w:lineRule="auto"/>
        <w:jc w:val="both"/>
        <w:rPr>
          <w:rFonts w:ascii="Times New Roman" w:hAnsi="Times New Roman" w:cs="Times New Roman"/>
          <w:sz w:val="22"/>
          <w:szCs w:val="22"/>
        </w:rPr>
      </w:pPr>
      <w:r>
        <w:rPr>
          <w:rFonts w:ascii="Times New Roman" w:hAnsi="Times New Roman" w:cs="Times New Roman"/>
          <w:sz w:val="22"/>
          <w:szCs w:val="22"/>
        </w:rPr>
        <w:t xml:space="preserve">La signalisation temporaire est conforme aux prescriptions de l’instruction interministérielle sur la signalisation routière, 8ᵉ partie « signalisation temporaire », approuvée par l’arrêté du 6 novembre 1992 modifié, dans sa version consolidée au 4 septembre 2025. Signalisation d’approche : AK5, à 400 mètres environ en amont de l’emprise, dans chaque sens de circulation ; KC1 portant la mention « CIRCULATION ALTERNÉE », à 300 mètres environ en amont de l’emprise, dans chaque sens de circulation ; B3, à 300 mètres environ en amont de l’emprise, dans chaque sens de circulation ; AK17, à 200 mètres environ en amont de l’emprise, dans chaque sens de circulation ; B14 portant la mention « 50 km/h », à 100 mètres environ en amont de l’emprise, dans chaque sens de circulation. Signalisation de position : KR11, de part et d’autre de la zone, à 30 mètres de l’extrémité de l’emprise du côté non affecté, l’axe du feu inférieur à plus de 2 mètres du sol ; K8, en tête de la zone neutralisée, orienté vers la voie laissée libre ; K5c, en alignement le long de l’emprise ; K5a, en biseau à l’entrée de la zone neutralisée, puis en balisage longitudinal ; K2 portant la mention « FIN DE CHANTIER », en barrage frontal de l’emprise ; seul le dernier barrage porte la mention à son revers. Signalisation de fin : B31, quelques dizaines de mètres après la fin de l’emprise, dans chaque sens de circulation. La mise en place et la maintenance de la signalisation de restriction et de protection de l’emprise du chantier sont à la charge et sous la responsabilité de l’entreprise [nom du bénéficiaire]. La signalisation est occultée pendant les périodes où aucune restriction ne persiste et éclairée la nuit dans le cas contraire. Elle est enlevée dès lors qu’ont disparu les motifs qui ont conduit à l’implanter.</w:t>
      </w:r>
    </w:p>
    <w:p>
      <w:pPr>
        <w:spacing w:before="180" w:after="0" w:line="372" w:lineRule="auto"/>
        <w:jc w:val="left"/>
        <w:rPr>
          <w:rFonts w:ascii="Times New Roman" w:hAnsi="Times New Roman" w:cs="Times New Roman"/>
          <w:b/>
          <w:sz w:val="22"/>
          <w:szCs w:val="22"/>
        </w:rPr>
      </w:pPr>
      <w:r>
        <w:rPr>
          <w:rFonts w:ascii="Times New Roman" w:hAnsi="Times New Roman" w:cs="Times New Roman"/>
          <w:b/>
          <w:sz w:val="22"/>
          <w:szCs w:val="22"/>
        </w:rPr>
        <w:t xml:space="preserve">Article 6 : Cheminement des piétons</w:t>
      </w:r>
    </w:p>
    <w:p>
      <w:pPr>
        <w:spacing w:before="0" w:after="0" w:line="372" w:lineRule="auto"/>
        <w:jc w:val="both"/>
        <w:rPr>
          <w:rFonts w:ascii="Times New Roman" w:hAnsi="Times New Roman" w:cs="Times New Roman"/>
          <w:sz w:val="22"/>
          <w:szCs w:val="22"/>
        </w:rPr>
      </w:pPr>
      <w:r>
        <w:rPr>
          <w:rFonts w:ascii="Times New Roman" w:hAnsi="Times New Roman" w:cs="Times New Roman"/>
          <w:sz w:val="22"/>
          <w:szCs w:val="22"/>
        </w:rPr>
        <w:t xml:space="preserve">Un cheminement piéton d’une largeur minimale de 1,40 mètre, libre de tout obstacle, est maintenu au droit des travaux. Le balisage constitue une barrière physique entre l’emprise du chantier et les voies de circulation pour véhicules et piétons.</w:t>
      </w:r>
    </w:p>
    <w:p>
      <w:pPr>
        <w:spacing w:before="180" w:after="0" w:line="372" w:lineRule="auto"/>
        <w:jc w:val="left"/>
        <w:rPr>
          <w:rFonts w:ascii="Times New Roman" w:hAnsi="Times New Roman" w:cs="Times New Roman"/>
          <w:b/>
          <w:sz w:val="22"/>
          <w:szCs w:val="22"/>
        </w:rPr>
      </w:pPr>
      <w:r>
        <w:rPr>
          <w:rFonts w:ascii="Times New Roman" w:hAnsi="Times New Roman" w:cs="Times New Roman"/>
          <w:b/>
          <w:sz w:val="22"/>
          <w:szCs w:val="22"/>
        </w:rPr>
        <w:t xml:space="preserve">Article 7 : Dérogations</w:t>
      </w:r>
    </w:p>
    <w:p>
      <w:pPr>
        <w:spacing w:before="0" w:after="0" w:line="372" w:lineRule="auto"/>
        <w:jc w:val="both"/>
        <w:rPr>
          <w:rFonts w:ascii="Times New Roman" w:hAnsi="Times New Roman" w:cs="Times New Roman"/>
          <w:sz w:val="22"/>
          <w:szCs w:val="22"/>
        </w:rPr>
      </w:pPr>
      <w:r>
        <w:rPr>
          <w:rFonts w:ascii="Times New Roman" w:hAnsi="Times New Roman" w:cs="Times New Roman"/>
          <w:sz w:val="22"/>
          <w:szCs w:val="22"/>
        </w:rPr>
        <w:t xml:space="preserve">Par dérogation aux dispositions qui précèdent, la circulation demeure autorisée pour les riverains, les véhicules de secours et de lutte contre l’incendie ainsi que les véhicules de collecte des ordures ménagères. L’accès des riverains à leur propriété et des services de secours est maintenu pendant toute la durée de la mesure.</w:t>
      </w:r>
    </w:p>
    <w:p>
      <w:pPr>
        <w:spacing w:before="180" w:after="0" w:line="372" w:lineRule="auto"/>
        <w:jc w:val="left"/>
        <w:rPr>
          <w:rFonts w:ascii="Times New Roman" w:hAnsi="Times New Roman" w:cs="Times New Roman"/>
          <w:b/>
          <w:sz w:val="22"/>
          <w:szCs w:val="22"/>
        </w:rPr>
      </w:pPr>
      <w:r>
        <w:rPr>
          <w:rFonts w:ascii="Times New Roman" w:hAnsi="Times New Roman" w:cs="Times New Roman"/>
          <w:b/>
          <w:sz w:val="22"/>
          <w:szCs w:val="22"/>
        </w:rPr>
        <w:t xml:space="preserve">Article 8 : Entrée en vigueur</w:t>
      </w:r>
    </w:p>
    <w:p>
      <w:pPr>
        <w:spacing w:before="0" w:after="0" w:line="372" w:lineRule="auto"/>
        <w:jc w:val="both"/>
        <w:rPr>
          <w:rFonts w:ascii="Times New Roman" w:hAnsi="Times New Roman" w:cs="Times New Roman"/>
          <w:sz w:val="22"/>
          <w:szCs w:val="22"/>
        </w:rPr>
      </w:pPr>
      <w:r>
        <w:rPr>
          <w:rFonts w:ascii="Times New Roman" w:hAnsi="Times New Roman" w:cs="Times New Roman"/>
          <w:sz w:val="22"/>
          <w:szCs w:val="22"/>
        </w:rPr>
        <w:t xml:space="preserve">Les dispositions définies par le présent arrêté prennent effet le jour de la mise en place de la signalisation.</w:t>
      </w:r>
    </w:p>
    <w:p>
      <w:pPr>
        <w:spacing w:before="180" w:after="0" w:line="372" w:lineRule="auto"/>
        <w:jc w:val="left"/>
        <w:rPr>
          <w:rFonts w:ascii="Times New Roman" w:hAnsi="Times New Roman" w:cs="Times New Roman"/>
          <w:b/>
          <w:sz w:val="22"/>
          <w:szCs w:val="22"/>
        </w:rPr>
      </w:pPr>
      <w:r>
        <w:rPr>
          <w:rFonts w:ascii="Times New Roman" w:hAnsi="Times New Roman" w:cs="Times New Roman"/>
          <w:b/>
          <w:sz w:val="22"/>
          <w:szCs w:val="22"/>
        </w:rPr>
        <w:t xml:space="preserve">Article 9 : Publicité</w:t>
      </w:r>
    </w:p>
    <w:p>
      <w:pPr>
        <w:spacing w:before="0" w:after="0" w:line="372" w:lineRule="auto"/>
        <w:jc w:val="both"/>
        <w:rPr>
          <w:rFonts w:ascii="Times New Roman" w:hAnsi="Times New Roman" w:cs="Times New Roman"/>
          <w:sz w:val="22"/>
          <w:szCs w:val="22"/>
        </w:rPr>
      </w:pPr>
      <w:r>
        <w:rPr>
          <w:rFonts w:ascii="Times New Roman" w:hAnsi="Times New Roman" w:cs="Times New Roman"/>
          <w:sz w:val="22"/>
          <w:szCs w:val="22"/>
        </w:rPr>
        <w:t xml:space="preserve">Le présent arrêté est publié dans les conditions prévues par l’article L2131-1 du code général des collectivités territoriales et affiché à chaque extrémité de l’emprise du chantier.</w:t>
      </w:r>
    </w:p>
    <w:p>
      <w:pPr>
        <w:spacing w:before="180" w:after="0" w:line="372" w:lineRule="auto"/>
        <w:jc w:val="left"/>
        <w:rPr>
          <w:rFonts w:ascii="Times New Roman" w:hAnsi="Times New Roman" w:cs="Times New Roman"/>
          <w:b/>
          <w:sz w:val="22"/>
          <w:szCs w:val="22"/>
        </w:rPr>
      </w:pPr>
      <w:r>
        <w:rPr>
          <w:rFonts w:ascii="Times New Roman" w:hAnsi="Times New Roman" w:cs="Times New Roman"/>
          <w:b/>
          <w:sz w:val="22"/>
          <w:szCs w:val="22"/>
        </w:rPr>
        <w:t xml:space="preserve">Article 10 : Voies et délais de recours</w:t>
      </w:r>
    </w:p>
    <w:p>
      <w:pPr>
        <w:spacing w:before="0" w:after="0" w:line="372" w:lineRule="auto"/>
        <w:jc w:val="both"/>
        <w:rPr>
          <w:rFonts w:ascii="Times New Roman" w:hAnsi="Times New Roman" w:cs="Times New Roman"/>
          <w:sz w:val="22"/>
          <w:szCs w:val="22"/>
        </w:rPr>
      </w:pPr>
      <w:r>
        <w:rPr>
          <w:rFonts w:ascii="Times New Roman" w:hAnsi="Times New Roman" w:cs="Times New Roman"/>
          <w:sz w:val="22"/>
          <w:szCs w:val="22"/>
        </w:rPr>
        <w:t xml:space="preserve">Le présent arrêté peut faire l’objet d’un recours gracieux devant son auteur dans le délai de deux mois à compter de sa publication. Un recours contentieux peut être formé devant le tribunal administratif territorialement compétent dans le même délai, le cas échéant à compter de la réponse au recours gracieux. Le tribunal administratif peut être saisi par l’application Télérecours citoyens, accessible sur le site www.telerecours.fr.</w:t>
      </w:r>
    </w:p>
    <w:p>
      <w:pPr>
        <w:spacing w:before="180" w:after="0" w:line="372" w:lineRule="auto"/>
        <w:jc w:val="left"/>
        <w:rPr>
          <w:rFonts w:ascii="Times New Roman" w:hAnsi="Times New Roman" w:cs="Times New Roman"/>
          <w:b/>
          <w:sz w:val="22"/>
          <w:szCs w:val="22"/>
        </w:rPr>
      </w:pPr>
      <w:r>
        <w:rPr>
          <w:rFonts w:ascii="Times New Roman" w:hAnsi="Times New Roman" w:cs="Times New Roman"/>
          <w:b/>
          <w:sz w:val="22"/>
          <w:szCs w:val="22"/>
        </w:rPr>
        <w:t xml:space="preserve">Article 11 : Ampliation et exécution</w:t>
      </w:r>
    </w:p>
    <w:p>
      <w:pPr>
        <w:spacing w:before="0" w:after="0" w:line="372" w:lineRule="auto"/>
        <w:jc w:val="both"/>
        <w:rPr>
          <w:rFonts w:ascii="Times New Roman" w:hAnsi="Times New Roman" w:cs="Times New Roman"/>
          <w:sz w:val="22"/>
          <w:szCs w:val="22"/>
        </w:rPr>
      </w:pPr>
      <w:r>
        <w:rPr>
          <w:rFonts w:ascii="Times New Roman" w:hAnsi="Times New Roman" w:cs="Times New Roman"/>
          <w:sz w:val="22"/>
          <w:szCs w:val="22"/>
        </w:rPr>
        <w:t xml:space="preserve">Les agents de la force publique et les services gestionnaires de la voie sont chargés, chacun en ce qui le concerne, de l’exécution du présent arrêté, dont ampliation est adressée à : le bénéficiaire, [nom du bénéficiaire] ; le commandant de la brigade de gendarmerie ou le commissaire de police territorialement compétent ; le directeur du service départemental d’incendie et de secours ; le service chargé de la collecte des déchets.</w:t>
      </w:r>
    </w:p>
    <w:p>
      <w:pPr>
        <w:spacing w:before="480" w:after="0" w:line="372" w:lineRule="auto"/>
        <w:jc w:val="right"/>
        <w:rPr>
          <w:rFonts w:ascii="Times New Roman" w:hAnsi="Times New Roman" w:cs="Times New Roman"/>
          <w:color w:val="4b5563"/>
          <w:sz w:val="21"/>
          <w:szCs w:val="21"/>
        </w:rPr>
      </w:pPr>
      <w:r>
        <w:rPr>
          <w:rFonts w:ascii="Times New Roman" w:hAnsi="Times New Roman" w:cs="Times New Roman"/>
          <w:color w:val="4b5563"/>
          <w:sz w:val="21"/>
          <w:szCs w:val="21"/>
        </w:rPr>
        <w:t xml:space="preserve">Fait à [lieu de signature], le [date de signature].</w:t>
      </w:r>
    </w:p>
    <w:p>
      <w:pPr>
        <w:spacing w:before="60" w:after="0" w:line="372" w:lineRule="auto"/>
        <w:jc w:val="right"/>
        <w:rPr>
          <w:rFonts w:ascii="Times New Roman" w:hAnsi="Times New Roman" w:cs="Times New Roman"/>
          <w:b/>
          <w:sz w:val="21"/>
          <w:szCs w:val="21"/>
        </w:rPr>
      </w:pPr>
      <w:r>
        <w:rPr>
          <w:rFonts w:ascii="Times New Roman" w:hAnsi="Times New Roman" w:cs="Times New Roman"/>
          <w:b/>
          <w:sz w:val="21"/>
          <w:szCs w:val="21"/>
        </w:rPr>
        <w:t xml:space="preserve">Le Président du Conseil départemental du [département],</w:t>
      </w:r>
    </w:p>
    <w:p>
      <w:pPr>
        <w:spacing w:before="0" w:after="0" w:line="372" w:lineRule="auto"/>
        <w:jc w:val="left"/>
        <w:rPr>
          <w:rFonts w:ascii="Times New Roman" w:hAnsi="Times New Roman" w:cs="Times New Roman"/>
          <w:sz w:val="22"/>
          <w:szCs w:val="22"/>
        </w:rPr>
      </w:pPr>
    </w:p>
    <w:p>
      <w:pPr>
        <w:spacing w:before="0" w:after="0" w:line="372" w:lineRule="auto"/>
        <w:jc w:val="left"/>
        <w:rPr>
          <w:rFonts w:ascii="Times New Roman" w:hAnsi="Times New Roman" w:cs="Times New Roman"/>
          <w:sz w:val="22"/>
          <w:szCs w:val="22"/>
        </w:rPr>
      </w:pPr>
    </w:p>
    <w:p>
      <w:pPr>
        <w:spacing w:before="0" w:after="0" w:line="372" w:lineRule="auto"/>
        <w:jc w:val="left"/>
        <w:rPr>
          <w:rFonts w:ascii="Times New Roman" w:hAnsi="Times New Roman" w:cs="Times New Roman"/>
          <w:sz w:val="22"/>
          <w:szCs w:val="22"/>
        </w:rPr>
      </w:pPr>
    </w:p>
    <w:sectPr>
      <w:pgSz w:w="11906" w:h="16838"/>
      <w:pgMar w:top="1134" w:right="1134" w:bottom="1134" w:left="1134" w:header="708" w:footer="708" w:gutter="0"/>
    </w:sectPr>
  </w:body>
</w:document>
</file>

<file path=word/_rels/document.xml.rels><?xml version="1.0" encoding="UTF-8" standalone="yes"?><Relationships xmlns="http://schemas.openxmlformats.org/package/2006/relationships"></Relationships>
</file>