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0" w:line="372" w:lineRule="auto"/>
        <w:jc w:val="center"/>
        <w:rPr>
          <w:rFonts w:ascii="Times New Roman" w:hAnsi="Times New Roman" w:cs="Times New Roman"/>
          <w:b/>
          <w:spacing w:val="18"/>
          <w:sz w:val="20"/>
          <w:szCs w:val="20"/>
        </w:rPr>
      </w:pPr>
      <w:r>
        <w:rPr>
          <w:rFonts w:ascii="Times New Roman" w:hAnsi="Times New Roman" w:cs="Times New Roman"/>
          <w:b/>
          <w:spacing w:val="18"/>
          <w:sz w:val="20"/>
          <w:szCs w:val="20"/>
        </w:rPr>
        <w:t xml:space="preserve">RÉPUBLIQUE FRANÇAISE</w:t>
      </w:r>
    </w:p>
    <w:p>
      <w:pPr>
        <w:spacing w:before="0" w:after="0" w:line="372" w:lineRule="auto"/>
        <w:jc w:val="center"/>
        <w:rPr>
          <w:rFonts w:ascii="Times New Roman" w:hAnsi="Times New Roman" w:cs="Times New Roman"/>
          <w:sz w:val="20"/>
          <w:szCs w:val="20"/>
        </w:rPr>
      </w:pPr>
      <w:r>
        <w:rPr>
          <w:rFonts w:ascii="Times New Roman" w:hAnsi="Times New Roman" w:cs="Times New Roman"/>
          <w:sz w:val="20"/>
          <w:szCs w:val="20"/>
        </w:rPr>
        <w:t xml:space="preserve">DÉPARTEMENT DU [DÉPARTEMENT]</w:t>
      </w:r>
    </w:p>
    <w:p>
      <w:pPr>
        <w:pBdr>
          <w:bottom w:val="single" w:sz="12" w:space="4" w:color="111827"/>
        </w:pBdr>
        <w:spacing w:before="60" w:after="0" w:line="372" w:lineRule="auto"/>
        <w:jc w:val="center"/>
        <w:rPr>
          <w:rFonts w:ascii="Times New Roman" w:hAnsi="Times New Roman" w:cs="Times New Roman"/>
          <w:b/>
          <w:spacing w:val="6"/>
          <w:sz w:val="26"/>
          <w:szCs w:val="26"/>
        </w:rPr>
      </w:pPr>
      <w:r>
        <w:rPr>
          <w:rFonts w:ascii="Times New Roman" w:hAnsi="Times New Roman" w:cs="Times New Roman"/>
          <w:b/>
          <w:spacing w:val="6"/>
          <w:sz w:val="26"/>
          <w:szCs w:val="26"/>
        </w:rPr>
        <w:t xml:space="preserve">COMMUNE DE [COMMUNE]</w:t>
      </w:r>
    </w:p>
    <w:p>
      <w:pPr>
        <w:tabs>
          <w:tab w:val="right" w:pos="9638"/>
        </w:tabs>
        <w:spacing w:before="180" w:after="0" w:line="372" w:lineRule="auto"/>
        <w:jc w:val="left"/>
        <w:rPr>
          <w:rFonts w:ascii="Times New Roman" w:hAnsi="Times New Roman" w:cs="Times New Roman"/>
          <w:color w:val="4b5563"/>
          <w:sz w:val="18"/>
          <w:szCs w:val="18"/>
        </w:rPr>
      </w:pPr>
      <w:r>
        <w:rPr>
          <w:rFonts w:ascii="Times New Roman" w:hAnsi="Times New Roman" w:cs="Times New Roman"/>
          <w:color w:val="4b5563"/>
          <w:sz w:val="18"/>
          <w:szCs w:val="18"/>
        </w:rPr>
        <w:t xml:space="preserve">Arrêté n° [numéro à attribuer]</w:t>
      </w:r>
      <w:r>
        <w:rPr>
          <w:rFonts w:ascii="Times New Roman" w:hAnsi="Times New Roman" w:cs="Times New Roman"/>
          <w:color w:val="4b5563"/>
          <w:sz w:val="18"/>
          <w:szCs w:val="18"/>
        </w:rPr>
        <w:tab/>
        <w:t xml:space="preserve">Nomenclature 8.3 Voirie</w:t>
      </w:r>
    </w:p>
    <w:p>
      <w:pPr>
        <w:spacing w:before="360" w:after="0" w:line="372" w:lineRule="auto"/>
        <w:jc w:val="center"/>
        <w:rPr>
          <w:rFonts w:ascii="Times New Roman" w:hAnsi="Times New Roman" w:cs="Times New Roman"/>
          <w:b/>
          <w:caps/>
          <w:spacing w:val="6"/>
          <w:sz w:val="22"/>
          <w:szCs w:val="22"/>
        </w:rPr>
      </w:pPr>
      <w:r>
        <w:rPr>
          <w:rFonts w:ascii="Times New Roman" w:hAnsi="Times New Roman" w:cs="Times New Roman"/>
          <w:b/>
          <w:caps/>
          <w:spacing w:val="6"/>
          <w:sz w:val="22"/>
          <w:szCs w:val="22"/>
        </w:rPr>
        <w:t xml:space="preserve">Arrêté temporaire portant interdiction de circuler sur le domaine public : course pédestre sur route organisée par une association</w:t>
      </w:r>
    </w:p>
    <w:p>
      <w:pPr>
        <w:spacing w:before="30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les articles L2212-1 et L2212-2 du code général des collectivités territoriales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l’article L2213-1 du code général des collectivités territoriales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l’article L2213-2 du code général des collectivités territoriales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l’article L411-1 du code de la route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l’article R110-2 du code de la route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l’article R411-25 du code de la route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l’article R417-10 du code de la route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les articles L325-1 et suivants du code de la route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les articles R411-30 et R411-31 du code de la route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l’article R331-6 du code du sport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l’arrêté interministériel du 24 novembre 1967 modifié relatif à la signalisation des routes et autoroutes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l’instruction interministérielle sur la signalisation routière, 8ᵉ partie « signalisation temporaire », approuvée par l’arrêté du 6 novembre 1992 modifié, dans sa version consolidée au 4 septembre 2025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le règlement de voirie communal en vigueur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la demande formulée par l’entreprise [nom du bénéficiaire], ayant pour objet : course pédestre sur route organisée par une association ;</w:t>
      </w:r>
    </w:p>
    <w:p>
      <w:pPr>
        <w:spacing w:before="24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Considérant que la configuration des lieux, la nature de la manifestation et leur empiètement sur le domaine public routier nécessitent, pour garantir les meilleures conditions de sécurité des usagers et des personnes présentes, la modification de l’organisation de la circulation et du stationnement sur cette section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Considérant que la mesure est limitée à la durée et à l’emprise strictement nécessaires au déroulement de la manifestation ; qu’il y a lieu de maintenir la desserte des immeubles riverains, l’accès des véhicules de secours et de lutte contre l’incendie ainsi que la collecte des ordures ménagères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Considérant que rien ne s’oppose à ce qu’il soit fait droit à la demande présentée par l’entreprise [nom du bénéficiaire] ;</w:t>
      </w:r>
    </w:p>
    <w:p>
      <w:pPr>
        <w:spacing w:before="300" w:after="0" w:line="372" w:lineRule="auto"/>
        <w:jc w:val="center"/>
        <w:rPr>
          <w:rFonts w:ascii="Times New Roman" w:hAnsi="Times New Roman" w:cs="Times New Roman"/>
          <w:b/>
          <w:spacing w:val="48"/>
          <w:sz w:val="22"/>
          <w:szCs w:val="22"/>
        </w:rPr>
      </w:pPr>
      <w:r>
        <w:rPr>
          <w:rFonts w:ascii="Times New Roman" w:hAnsi="Times New Roman" w:cs="Times New Roman"/>
          <w:b/>
          <w:spacing w:val="48"/>
          <w:sz w:val="22"/>
          <w:szCs w:val="22"/>
        </w:rPr>
        <w:t xml:space="preserve">ARRÊTE</w:t>
      </w:r>
    </w:p>
    <w:p>
      <w:pPr>
        <w:spacing w:before="30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1er : Objet</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Du [date de début] au [date de fin] inclus, de [heure de début] à [heure de fin], la circulation est réglementée [voie à préciser], sur le territoire de la commune de [commune], en raison de l’opération suivante : course pédestre sur route organisée par une association.</w:t>
      </w:r>
    </w:p>
    <w:p>
      <w:pPr>
        <w:spacing w:before="18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2 : Interdiction de circuler</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La circulation de tous les véhicules est interdite [voie à préciser], riverains non compris. La circulation est rétablie en dehors des heures d’activité indiquées ci-dessus.</w:t>
      </w:r>
    </w:p>
    <w:p>
      <w:pPr>
        <w:spacing w:before="18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3 : Stationnement</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Le stationnement est interdit sur l’emprise de la manifestation pendant toute la durée de la mesure, à l’exception des véhicules qui y sont affectés. Les véhicules stationnés en infraction avec le présent article sont considérés comme gênants au sens de l’article R417-10 du code de la route et peuvent être enlevés et mis en fourrière dans les conditions prévues aux articles L325-1 et suivants du code de la route.</w:t>
      </w:r>
    </w:p>
    <w:p>
      <w:pPr>
        <w:spacing w:before="18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4 : Signalisation</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La signalisation temporaire est conforme aux prescriptions de l’instruction interministérielle sur la signalisation routière, 8ᵉ partie « signalisation temporaire », approuvée par l’arrêté du 6 novembre 1992 modifié, dans sa version consolidée au 4 septembre 2025. Signalisation d’approche : AK5, à 20 mètres au moins en amont de l’emprise, dans chaque sens de circulation ; posé sur le trottoir à 0,50 mètre du bord de chaussée en laissant au moins 0,90 mètre libre aux piétons, et sur la chaussée à défaut ; KC1 portant la mention « ROUTE BARRÉE », à 10 mètres au moins en amont de l’emprise, dans chaque sens de circulation. Signalisation de position : B6a1, complété des panonceaux M6a et M6f, ce dernier portant les dates et les heures de l’interdiction, au début de la section où le stationnement est interdit, sur chaque côté de la voie que l’interdiction concerne ; K2 portant la mention « FIN DE CHANTIER », en barrage frontal à l’origine de la section barrée ; seul le dernier barrage porte la mention à son revers ; KC1 portant la mention « ROUTE BARRÉE », au droit du barrage ; B1 portant la mention « SAUF RIVERAINS », au droit du barrage. Signalisation de fin : B6a1, complété d’un panonceau M8b, à la fin de la section où le stationnement est interdit, sur les mêmes côtés. La mise en place et la maintenance de la signalisation de restriction et de protection de l’emprise de la manifestation sont à la charge et sous la responsabilité de l’entreprise [nom du bénéficiaire]. La signalisation est occultée pendant les périodes où aucune restriction ne persiste et éclairée la nuit dans le cas contraire. Elle est enlevée dès lors qu’ont disparu les motifs qui ont conduit à l’implanter.</w:t>
      </w:r>
    </w:p>
    <w:p>
      <w:pPr>
        <w:spacing w:before="18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5 : Cheminement des piétons</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Un cheminement piéton d’une largeur minimale de 1,40 mètre, libre de tout obstacle, est maintenu au droit de la manifestation. Le balisage constitue une barrière physique entre l’emprise de la manifestation et les voies de circulation pour véhicules et piétons.</w:t>
      </w:r>
    </w:p>
    <w:p>
      <w:pPr>
        <w:spacing w:before="18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6 : Dérogations</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Par dérogation aux dispositions qui précèdent, la circulation demeure autorisée pour les riverains, les véhicules de secours et de lutte contre l’incendie ainsi que les véhicules de collecte des ordures ménagères. L’accès des riverains à leur propriété et des services de secours est maintenu pendant toute la durée de la mesure.</w:t>
      </w:r>
    </w:p>
    <w:p>
      <w:pPr>
        <w:spacing w:before="18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7 : Entrée en vigueur</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Les dispositions définies par le présent arrêté prennent effet le jour de la mise en place de la signalisation.</w:t>
      </w:r>
    </w:p>
    <w:p>
      <w:pPr>
        <w:spacing w:before="18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8 : Publicité</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Le présent arrêté est publié dans les conditions prévues par l’article L2131-1 du code général des collectivités territoriales et affiché à chaque extrémité de l’emprise de la manifestation.</w:t>
      </w:r>
    </w:p>
    <w:p>
      <w:pPr>
        <w:spacing w:before="18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9 : Voies et délais de recours</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Le présent arrêté peut faire l’objet d’un recours gracieux devant son auteur dans le délai de deux mois à compter de sa publication. Un recours contentieux peut être formé devant le tribunal administratif territorialement compétent dans le même délai, le cas échéant à compter de la réponse au recours gracieux. Le tribunal administratif peut être saisi par l’application Télérecours citoyens, accessible sur le site www.telerecours.fr.</w:t>
      </w:r>
    </w:p>
    <w:p>
      <w:pPr>
        <w:spacing w:before="18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10 : Ampliation et exécution</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Les agents de la force publique et les services gestionnaires de la voie sont chargés, chacun en ce qui le concerne, de l’exécution du présent arrêté, dont ampliation est adressée à : le bénéficiaire, [nom du bénéficiaire] ; le commandant de la brigade de gendarmerie ou le commissaire de police territorialement compétent ; le directeur du service départemental d’incendie et de secours ; le service chargé de la collecte des déchets.</w:t>
      </w:r>
    </w:p>
    <w:p>
      <w:pPr>
        <w:spacing w:before="480" w:after="0" w:line="372" w:lineRule="auto"/>
        <w:jc w:val="right"/>
        <w:rPr>
          <w:rFonts w:ascii="Times New Roman" w:hAnsi="Times New Roman" w:cs="Times New Roman"/>
          <w:color w:val="4b5563"/>
          <w:sz w:val="21"/>
          <w:szCs w:val="21"/>
        </w:rPr>
      </w:pPr>
      <w:r>
        <w:rPr>
          <w:rFonts w:ascii="Times New Roman" w:hAnsi="Times New Roman" w:cs="Times New Roman"/>
          <w:color w:val="4b5563"/>
          <w:sz w:val="21"/>
          <w:szCs w:val="21"/>
        </w:rPr>
        <w:t xml:space="preserve">Fait à [lieu de signature], le [date de signature].</w:t>
      </w:r>
    </w:p>
    <w:p>
      <w:pPr>
        <w:spacing w:before="60" w:after="0" w:line="372" w:lineRule="auto"/>
        <w:jc w:val="right"/>
        <w:rPr>
          <w:rFonts w:ascii="Times New Roman" w:hAnsi="Times New Roman" w:cs="Times New Roman"/>
          <w:b/>
          <w:sz w:val="21"/>
          <w:szCs w:val="21"/>
        </w:rPr>
      </w:pPr>
      <w:r>
        <w:rPr>
          <w:rFonts w:ascii="Times New Roman" w:hAnsi="Times New Roman" w:cs="Times New Roman"/>
          <w:b/>
          <w:sz w:val="21"/>
          <w:szCs w:val="21"/>
        </w:rPr>
        <w:t xml:space="preserve">Le Maire de la Commune de [commune],</w:t>
      </w:r>
    </w:p>
    <w:p>
      <w:pPr>
        <w:spacing w:before="0" w:after="0" w:line="372" w:lineRule="auto"/>
        <w:jc w:val="left"/>
        <w:rPr>
          <w:rFonts w:ascii="Times New Roman" w:hAnsi="Times New Roman" w:cs="Times New Roman"/>
          <w:sz w:val="22"/>
          <w:szCs w:val="22"/>
        </w:rPr>
      </w:pPr>
    </w:p>
    <w:p>
      <w:pPr>
        <w:spacing w:before="0" w:after="0" w:line="372" w:lineRule="auto"/>
        <w:jc w:val="left"/>
        <w:rPr>
          <w:rFonts w:ascii="Times New Roman" w:hAnsi="Times New Roman" w:cs="Times New Roman"/>
          <w:sz w:val="22"/>
          <w:szCs w:val="22"/>
        </w:rPr>
      </w:pPr>
    </w:p>
    <w:p>
      <w:pPr>
        <w:spacing w:before="0" w:after="0" w:line="372" w:lineRule="auto"/>
        <w:jc w:val="left"/>
        <w:rPr>
          <w:rFonts w:ascii="Times New Roman" w:hAnsi="Times New Roman" w:cs="Times New Roman"/>
          <w:sz w:val="22"/>
          <w:szCs w:val="22"/>
        </w:rPr>
      </w:pPr>
    </w:p>
    <w:sectPr>
      <w:pgSz w:w="11906" w:h="16838"/>
      <w:pgMar w:top="1134" w:right="1134" w:bottom="1134" w:left="1134" w:header="708" w:footer="708" w:gutter="0"/>
    </w:sectPr>
  </w:body>
</w:document>
</file>

<file path=word/_rels/document.xml.rels><?xml version="1.0" encoding="UTF-8" standalone="yes"?><Relationships xmlns="http://schemas.openxmlformats.org/package/2006/relationships"></Relationships>
</file>