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portant interdiction de circuler sur le domaine public : travaux d’élagage des arbres d’alignement</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L350-3 du code de l’environnement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d’élagage des arbres d’alignement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section concernée par les travaux est située hors agglomération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mesure est limitée à la durée et à l’emprise strictement nécessaires au déroulement des travaux ; qu’il y a lieu de maintenir la desserte des immeubles riverains, l’accès des véhicules de secours et de lutte contre l’incendie ainsi que la collecte des ordures ménagères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travaux d’élagage des arbres d’alignement.</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Interdiction de circuler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circulation de tous les véhicules est interdite [voie à préciser], riverains non compris. La circulation est rétablie en dehors des heures d’activité indiquées ci-dessus.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200 mètres environ en amont de l’emprise, dans chaque sens de circulation ; KC1 portant la mention « ROUTE BARRÉE », à 100 mètres environ en amont de l’emprise, dans chaque sens de circulation. Signalisation de position : K2 portant la mention « FIN DE CHANTIER », en barrage frontal à l’origine de la section barrée ; seul le dernier barrage porte la mention à son revers ; KC1 portant la mention « ROUTE BARRÉE », au droit du barrage ; B1 portant la mention « SAUF RIVERAINS », au droit du barrage.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