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installation d’une terrasse de café sur le trottoir</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R417-10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L325-1 et suivants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installation d’une terrasse de café sur le trottoir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 l’occupation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l’opération suivante : installation d’une terrasse de café sur le trottoir.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L’emprise occupée est établie sur le trottoir. La circulation des véhicules n’est pas interrompue.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occupée pendant toute la durée de la mesure, à l’exception des véhicules qui y sont affectés. Les véhicules stationnés en infraction avec le présent article sont considérés comme gênants au sens de l’article R417-10 du code de la route et peuvent être enlevés et mis en fourrière dans les conditions prévues aux articles L325-1 et suivants du code de la route.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10 mètres au moins en amont de l’emprise, dans chaque sens de circulation ; posé sur le trottoir à 0,50 mètre du bord de chaussée en laissant au moins 0,90 mètre libre aux piétons, et sur la chaussée à défaut. Signalisation de position : B6a1, complété des panonceaux M6a et M6f, ce dernier portant les dates et les heures de l’interdiction, au début de la section où le stationnement est interdit, sur chaque côté de la voie que l’interdiction concerne ; K16, entre l’emprise et les circulations, en barrière physique continue sur toute la longueur du chantier. Signalisation de fin : B6a1, complété d’un panonceau M8b, à la fin de la section où le stationnement est interdit, sur les mêmes côtés. La mise en place et la maintenance de la signalisation de restriction et de protection de l’emprise occupée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occupée.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