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portant interdiction de circuler sur le domaine public : opération de levage à la grue mobile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opération de levage à la grue mobile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mesure est limitée à la durée et à l’emprise strictement nécessaires au déroulement des travaux ; qu’il y a lieu de maintenir la desserte des immeubles riverains, l’accès des véhicules de secours et de lutte contre l’incendie ainsi que la collecte des ordures ménagères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opération de levage à la grue mobile.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Interdiction de circuler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circulation de tous les véhicules est interdite [voie à préciser], riverains non compris. La circulation est rétablie en dehors des heures d’activité indiquées ci-dessus.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KC1 portant la mention « ROUTE BARRÉE », à 10 mètres au moins en amont de l’emprise, dans chaque sens de circulation. Signalisation de position : B6a1, complété des panonceaux M6a et M6f, ce dernier portant les dates et les heures de l’interdiction, au début de la section où le stationnement est interdit, sur chaque côté de la voie que l’interdiction concerne ; K2 portant la mention « FIN DE CHANTIER », en barrage frontal à l’origine de la section barrée ; seul le dernier barrage porte la mention à son revers ; KC1 portant la mention « ROUTE BARRÉE », au droit du barrage ; B1 portant la mention « SAUF RIVERAINS », au droit du barrage. Signalisation de fin : B6a1, complété d’un panonceau M8b, à la fin de la section où le stationnement est interdit, sur les mêmes côtés.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