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0" w:line="372" w:lineRule="auto"/>
        <w:jc w:val="center"/>
        <w:rPr>
          <w:rFonts w:ascii="Times New Roman" w:hAnsi="Times New Roman" w:cs="Times New Roman"/>
          <w:b/>
          <w:spacing w:val="18"/>
          <w:sz w:val="20"/>
          <w:szCs w:val="20"/>
        </w:rPr>
      </w:pPr>
      <w:r>
        <w:rPr>
          <w:rFonts w:ascii="Times New Roman" w:hAnsi="Times New Roman" w:cs="Times New Roman"/>
          <w:b/>
          <w:spacing w:val="18"/>
          <w:sz w:val="20"/>
          <w:szCs w:val="20"/>
        </w:rPr>
        <w:t xml:space="preserve">RÉPUBLIQUE FRANÇAISE</w:t>
      </w:r>
    </w:p>
    <w:p>
      <w:pPr>
        <w:spacing w:before="0" w:after="0" w:line="372" w:lineRule="auto"/>
        <w:jc w:val="center"/>
        <w:rPr>
          <w:rFonts w:ascii="Times New Roman" w:hAnsi="Times New Roman" w:cs="Times New Roman"/>
          <w:sz w:val="20"/>
          <w:szCs w:val="20"/>
        </w:rPr>
      </w:pPr>
      <w:r>
        <w:rPr>
          <w:rFonts w:ascii="Times New Roman" w:hAnsi="Times New Roman" w:cs="Times New Roman"/>
          <w:sz w:val="20"/>
          <w:szCs w:val="20"/>
        </w:rPr>
        <w:t xml:space="preserve">DÉPARTEMENT DU [DÉPARTEMENT]</w:t>
      </w:r>
    </w:p>
    <w:p>
      <w:pPr>
        <w:pBdr>
          <w:bottom w:val="single" w:sz="12" w:space="4" w:color="111827"/>
        </w:pBdr>
        <w:spacing w:before="60" w:after="0" w:line="372" w:lineRule="auto"/>
        <w:jc w:val="center"/>
        <w:rPr>
          <w:rFonts w:ascii="Times New Roman" w:hAnsi="Times New Roman" w:cs="Times New Roman"/>
          <w:b/>
          <w:spacing w:val="6"/>
          <w:sz w:val="26"/>
          <w:szCs w:val="26"/>
        </w:rPr>
      </w:pPr>
      <w:r>
        <w:rPr>
          <w:rFonts w:ascii="Times New Roman" w:hAnsi="Times New Roman" w:cs="Times New Roman"/>
          <w:b/>
          <w:spacing w:val="6"/>
          <w:sz w:val="26"/>
          <w:szCs w:val="26"/>
        </w:rPr>
        <w:t xml:space="preserve">COMMUNE DE [COMMUNE]</w:t>
      </w:r>
    </w:p>
    <w:p>
      <w:pPr>
        <w:tabs>
          <w:tab w:val="right" w:pos="9638"/>
        </w:tabs>
        <w:spacing w:before="180" w:after="0" w:line="372" w:lineRule="auto"/>
        <w:jc w:val="left"/>
        <w:rPr>
          <w:rFonts w:ascii="Times New Roman" w:hAnsi="Times New Roman" w:cs="Times New Roman"/>
          <w:color w:val="4b5563"/>
          <w:sz w:val="18"/>
          <w:szCs w:val="18"/>
        </w:rPr>
      </w:pPr>
      <w:r>
        <w:rPr>
          <w:rFonts w:ascii="Times New Roman" w:hAnsi="Times New Roman" w:cs="Times New Roman"/>
          <w:color w:val="4b5563"/>
          <w:sz w:val="18"/>
          <w:szCs w:val="18"/>
        </w:rPr>
        <w:t xml:space="preserve">Arrêté n° [numéro à attribuer]</w:t>
      </w:r>
      <w:r>
        <w:rPr>
          <w:rFonts w:ascii="Times New Roman" w:hAnsi="Times New Roman" w:cs="Times New Roman"/>
          <w:color w:val="4b5563"/>
          <w:sz w:val="18"/>
          <w:szCs w:val="18"/>
        </w:rPr>
        <w:tab/>
        <w:t xml:space="preserve">Nomenclature 8.3 Voirie</w:t>
      </w:r>
    </w:p>
    <w:p>
      <w:pPr>
        <w:spacing w:before="360" w:after="0" w:line="372" w:lineRule="auto"/>
        <w:jc w:val="center"/>
        <w:rPr>
          <w:rFonts w:ascii="Times New Roman" w:hAnsi="Times New Roman" w:cs="Times New Roman"/>
          <w:b/>
          <w:caps/>
          <w:spacing w:val="6"/>
          <w:sz w:val="22"/>
          <w:szCs w:val="22"/>
        </w:rPr>
      </w:pPr>
      <w:r>
        <w:rPr>
          <w:rFonts w:ascii="Times New Roman" w:hAnsi="Times New Roman" w:cs="Times New Roman"/>
          <w:b/>
          <w:caps/>
          <w:spacing w:val="6"/>
          <w:sz w:val="22"/>
          <w:szCs w:val="22"/>
        </w:rPr>
        <w:t xml:space="preserve">Permis de stationnement sur le domaine public : opération de levage à la grue mobile</w:t>
      </w:r>
    </w:p>
    <w:p>
      <w:pPr>
        <w:spacing w:before="30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les articles L2212-1 et L2212-2 du code général des collectivités territoriales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L2213-6 du code général des collectivités territoriales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L411-1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L113-2 du code de la voirie routière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R*116-2 du code de la voirie routière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les articles L2122-1 à L2122-3 du code général de la propriété des personnes publiques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L3111-1 du code général de la propriété des personnes publiques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L2125-1 du code général de la propriété des personnes publiques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l’instruction interministérielle sur la signalisation routière, 8ᵉ partie « signalisation temporaire », approuvée par l’arrêté du 6 novembre 1992 modifié, dans sa version consolidée au 4 septembre 2025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 règlement de voirie communal en vigueur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 délibération fixant le tarif des redevances dues pour l’occupation du domaine public routier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 demande formulée par l’entreprise [nom du bénéficiaire], ayant pour objet : opération de levage à la grue mobile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l’état des lieux ;</w:t>
      </w:r>
    </w:p>
    <w:p>
      <w:pPr>
        <w:spacing w:before="24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Considérant que rien ne s’oppose à ce qu’il soit fait droit à la demande présentée par l’entreprise [nom du bénéficiaire] ;</w:t>
      </w:r>
    </w:p>
    <w:p>
      <w:pPr>
        <w:spacing w:before="300" w:after="0" w:line="372" w:lineRule="auto"/>
        <w:jc w:val="center"/>
        <w:rPr>
          <w:rFonts w:ascii="Times New Roman" w:hAnsi="Times New Roman" w:cs="Times New Roman"/>
          <w:b/>
          <w:spacing w:val="48"/>
          <w:sz w:val="22"/>
          <w:szCs w:val="22"/>
        </w:rPr>
      </w:pPr>
      <w:r>
        <w:rPr>
          <w:rFonts w:ascii="Times New Roman" w:hAnsi="Times New Roman" w:cs="Times New Roman"/>
          <w:b/>
          <w:spacing w:val="48"/>
          <w:sz w:val="22"/>
          <w:szCs w:val="22"/>
        </w:rPr>
        <w:t xml:space="preserve">ARRÊTE</w:t>
      </w:r>
    </w:p>
    <w:p>
      <w:pPr>
        <w:spacing w:before="30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1er : Autorisation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bénéficiaire, [nom du bénéficiaire], est autorisé à occuper le domaine public, [voie à préciser], sur le territoire de la commune de [commune], du [date de début] au [date de fin] inclus, de [heure de début] à [heure de fin], pour l’installation suivante : opération de levage à la grue mobile, à charge pour lui de se conformer aux dispositions des articles suivants.</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2 : Signalisation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L’entreprise [nom du bénéficiaire] a la charge de la signalisation temporaire de l’emprise du chantier sur le domaine public et répond des conséquences d’un défaut ou d’une insuffisance de cette signalisation. Celle-ci est conforme aux prescriptions de l’instruction interministérielle sur la signalisation routière, 8ᵉ partie « signalisation temporaire », approuvée par l’arrêté du 6 novembre 1992 modifié, dans sa version consolidée au 4 septembre 2025. Elle est enlevée dès lors qu’ont disparu les motifs qui ont conduit à l’implanter.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3 : Cheminement des piétons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Un cheminement piéton d’une largeur minimale de 1,40 mètre, libre de tout obstacle, est maintenu au droit des travaux. Le balisage constitue une barrière physique entre l’emprise du chantier et les voies de circulation pour véhicules et piétons.</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4 : Tenue de l’installation</w:t>
      </w:r>
    </w:p>
    <w:p>
      <w:pPr>
        <w:pBdr>
          <w:left w:val="single" w:sz="8" w:space="6" w:color="d1d5db"/>
        </w:pBdr>
        <w:spacing w:before="0" w:after="0" w:line="372" w:lineRule="auto"/>
        <w:ind w:left="180"/>
        <w:jc w:val="both"/>
        <w:rPr>
          <w:rFonts w:ascii="Times New Roman" w:hAnsi="Times New Roman" w:cs="Times New Roman"/>
          <w:sz w:val="22"/>
          <w:szCs w:val="22"/>
        </w:rPr>
      </w:pPr>
      <w:r>
        <w:rPr>
          <w:rFonts w:ascii="Times New Roman" w:hAnsi="Times New Roman" w:cs="Times New Roman"/>
          <w:sz w:val="22"/>
          <w:szCs w:val="22"/>
        </w:rPr>
        <w:t xml:space="preserve">L’installation est maintenue en bon état, éclairée la nuit et protégée par une signalisation réglementaire. Elle ne fait pas obstacle au libre écoulement des eaux. Le gâchage de mortier sur la chaussée est interdit. Les abords sont maintenus en état de propreté permanente.</w:t>
      </w:r>
      <w:r>
        <w:rPr>
          <w:rFonts w:ascii="Times New Roman" w:hAnsi="Times New Roman" w:cs="Times New Roman"/>
          <w:color w:val="6b7280"/>
          <w:sz w:val="15"/>
          <w:szCs w:val="15"/>
        </w:rPr>
        <w:t xml:space="preserve"> usage local, à vérifier dans votre règlement de voirie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5 : Précarité et responsabilité</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La présente autorisation est délivrée à titre personnel, précaire et révocable. Elle ne confère aucun droit réel à son titulaire et ne peut être cédée. Elle peut être retirée à tout moment pour des motifs tenant à la conservation ou à l’utilisation du domaine public, sans que son bénéficiaire puisse prétendre à indemnité. Les droits des tiers sont et demeurent expressément réservés. Le bénéficiaire est responsable, tant vis-à-vis du gestionnaire du domaine que des tiers, des accidents de toute nature qui pourraient résulter de son occupation ou de ses travaux. Au terme de l’autorisation ou en cas de retrait, il remet les lieux dans leur état primitif. Le présent arrêté ne dispense pas son bénéficiaire des autorisations ou déclarations exigées par d’autres réglementations, notamment en matière d’urbanisme.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6 : Redevance</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L’occupation du domaine public donne lieu au paiement d’une redevance, dans les conditions et selon le tarif fixés par délibération de l’assemblée délibérante du gestionnaire de la voie.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7 : Sanctions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Toute occupation du domaine public routier, tout dépôt et tout travail exécutés sans autorisation, ainsi que toute atteinte à l’intégrité de ce domaine, sont passibles de l’amende prévue pour les contraventions de la cinquième classe par l’article R*116-2 du code de la voirie routière.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8 : Notification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présent arrêté est notifié à son bénéficiaire.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9 : Voies et délais de recours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présent arrêté peut faire l’objet d’un recours gracieux devant son auteur dans le délai de deux mois à compter de sa notification. Un recours contentieux peut être formé devant le tribunal administratif territorialement compétent dans le même délai, le cas échéant à compter de la réponse au recours gracieux. Le tribunal administratif peut être saisi par l’application Télérecours citoyens, accessible sur le site www.telerecours.fr.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10 : Ampliation et exécution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Les agents de la force publique et les services gestionnaires de la voie sont chargés, chacun en ce qui le concerne, de l’exécution du présent arrêté, dont ampliation est adressée à : le bénéficiaire, [nom du bénéficiaire] ; le commandant de la brigade de gendarmerie ou le commissaire de police territorialement compétent ; le directeur du service départemental d’incendie et de secours ; le service chargé de la collecte des déchets.</w:t>
      </w:r>
    </w:p>
    <w:p>
      <w:pPr>
        <w:spacing w:before="480" w:after="0" w:line="372" w:lineRule="auto"/>
        <w:jc w:val="right"/>
        <w:rPr>
          <w:rFonts w:ascii="Times New Roman" w:hAnsi="Times New Roman" w:cs="Times New Roman"/>
          <w:color w:val="4b5563"/>
          <w:sz w:val="21"/>
          <w:szCs w:val="21"/>
        </w:rPr>
      </w:pPr>
      <w:r>
        <w:rPr>
          <w:rFonts w:ascii="Times New Roman" w:hAnsi="Times New Roman" w:cs="Times New Roman"/>
          <w:color w:val="4b5563"/>
          <w:sz w:val="21"/>
          <w:szCs w:val="21"/>
        </w:rPr>
        <w:t xml:space="preserve">Fait à [lieu de signature], le [date de signature].</w:t>
      </w:r>
    </w:p>
    <w:p>
      <w:pPr>
        <w:spacing w:before="60" w:after="0" w:line="372" w:lineRule="auto"/>
        <w:jc w:val="right"/>
        <w:rPr>
          <w:rFonts w:ascii="Times New Roman" w:hAnsi="Times New Roman" w:cs="Times New Roman"/>
          <w:b/>
          <w:sz w:val="21"/>
          <w:szCs w:val="21"/>
        </w:rPr>
      </w:pPr>
      <w:r>
        <w:rPr>
          <w:rFonts w:ascii="Times New Roman" w:hAnsi="Times New Roman" w:cs="Times New Roman"/>
          <w:b/>
          <w:sz w:val="21"/>
          <w:szCs w:val="21"/>
        </w:rPr>
        <w:t xml:space="preserve">Le Maire de la Commune de [commune],</w:t>
      </w:r>
    </w:p>
    <w:p>
      <w:pPr>
        <w:spacing w:before="0" w:after="0" w:line="372" w:lineRule="auto"/>
        <w:jc w:val="left"/>
        <w:rPr>
          <w:rFonts w:ascii="Times New Roman" w:hAnsi="Times New Roman" w:cs="Times New Roman"/>
          <w:sz w:val="22"/>
          <w:szCs w:val="22"/>
        </w:rPr>
      </w:pPr>
    </w:p>
    <w:p>
      <w:pPr>
        <w:spacing w:before="0" w:after="0" w:line="372" w:lineRule="auto"/>
        <w:jc w:val="left"/>
        <w:rPr>
          <w:rFonts w:ascii="Times New Roman" w:hAnsi="Times New Roman" w:cs="Times New Roman"/>
          <w:sz w:val="22"/>
          <w:szCs w:val="22"/>
        </w:rPr>
      </w:pPr>
    </w:p>
    <w:p>
      <w:pPr>
        <w:spacing w:before="0" w:after="0" w:line="372" w:lineRule="auto"/>
        <w:jc w:val="left"/>
        <w:rPr>
          <w:rFonts w:ascii="Times New Roman" w:hAnsi="Times New Roman" w:cs="Times New Roman"/>
          <w:sz w:val="22"/>
          <w:szCs w:val="22"/>
        </w:rPr>
      </w:pPr>
    </w:p>
    <w:sectPr>
      <w:pgSz w:w="11906" w:h="16838"/>
      <w:pgMar w:top="1134" w:right="1134" w:bottom="1134" w:left="1134" w:header="708" w:footer="708" w:gutter="0"/>
    </w:sectPr>
  </w:body>
</w:document>
</file>

<file path=word/_rels/document.xml.rels><?xml version="1.0" encoding="UTF-8" standalone="yes"?><Relationships xmlns="http://schemas.openxmlformats.org/package/2006/relationships"></Relationships>
</file>