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 remplacement des bordures de trottoir</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L2213-1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remplacement des bordures de trottoir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remplacement des bordures de trottoir.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Emprise sur la voie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chaussée est rétrécie au droit des travaux ; le croisement des véhicules y demeure possible. Les dépassements sont interdits sur l’emprise du chantier, quelles que soient les voies laissées libres à la circulation.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20 mètres au moins en amont de l’emprise, dans chaque sens de circulation ; posé sur le trottoir à 0,50 mètre du bord de chaussée en laissant au moins 0,90 mètre libre aux piétons, et sur la chaussée à défaut ; B3, à 10 mètres au moins en amont de l’emprise, dans chaque sens de circulation. Signalisation de position : B21a, au moins deux en tête du biseau lorsque celui-ci est réalisé au moyen de cônes K5a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