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 branchement sur réseau enterré</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branchement sur réseau enterré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branchement sur réseau enterré.</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Circulation alternée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circulation est réduite à une seule voie. L’alternat est réglé par signaux tricolores d’alternat temporaire KR11j et KR11v. Au cas où la régulation automatique déséquilibrerait par trop les files d’attente, un alternat manuel est mis en place. Les dépassements sont interdits sur l’emprise du chantier, quelles que soient les voies laissées libres à la circulation. La circulation est rétablie en dehors des heures d’activité indiquées ci-dessus.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30 mètres au moins en amont de l’emprise, dans chaque sens de circulation ; posé sur le trottoir à 0,50 mètre du bord de chaussée en laissant au moins 0,90 mètre libre aux piétons, et sur la chaussée à défaut ; KC1 portant la mention « CIRCULATION ALTERNÉE », à 20 mètres au moins en amont de l’emprise, dans chaque sens de circulation ; B3, à 20 mètres au moins en amont de l’emprise, dans chaque sens de circulation ; AK17, à 10 mètres au moins en amont de l’emprise, dans chaque sens de circulation. Signalisation de position : KR11, de part et d’autre de la zone, à 30 mètres de l’extrémité de l’emprise du côté non affecté, l’axe du feu inférieur à plus de 2 mètres du sol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