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branchement d’eau potable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branchement d’eau potable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branchement d’eau potable.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chaussée est rétrécie au droit des travaux ; le croisement des véhicules y demeure possible. Les dépassements sont interdits sur l’emprise du chantier, quelles que soient les voies laissées libres à la circulation.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B3, à 10 mètres au moins en amont de l’emprise, dans chaque sens de circulation. Signalisation de position : B21a, au moins deux en tête du biseau lorsque celui-ci est réalisé au moyen de cônes K5a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