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réglementant la circulation sur le domaine public : travaux d’entretien d’une façade au camion-nacelle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L2213-1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R417-10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L325-1 et suivants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travaux d’entretien d’une façade au camion-nacelle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des travaux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travaux d’entretien d’une façade au camion-nacelle.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Emprise sur la voie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L’emprise du chantier est établie sur le trottoir. La circulation des véhicules n’est pas interrompue.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du chantier pendant toute la durée de la mesure, à l’exception des véhicules qui y sont affectés. Les véhicules stationnés en infraction avec le présent article sont considérés comme gênants au sens de l’article R417-10 du code de la route et peuvent être enlevés et mis en fourrière dans les conditions prévues aux articles L325-1 et suivants du code de la route.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AK5, à 10 mètres au moins en amont de l’emprise, dans chaque sens de circulation ; posé sur le trottoir à 0,50 mètre du bord de chaussée en laissant au moins 0,90 mètre libre aux piétons, et sur la chaussée à défaut. Signalisation de position : B6a1, complété des panonceaux M6a et M6f, ce dernier portant les dates et les heures de l’interdiction, au début de la section où le stationnement est interdit, sur chaque côté de la voie que l’interdiction concerne ; K16, entre l’emprise et les circulations, en barrière physique continue sur toute la longueur du chantier. Signalisation de fin : B6a1, complété d’un panonceau M8b, à la fin de la section où le stationnement est interdit, sur les mêmes côtés. La mise en place et la maintenance de la signalisation de restriction et de protection de l’emprise du chantier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du chantier.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