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Permission de voirie sur le domaine public : travaux de pose d’un fourreau de fibre optique sous trottoir</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L113-2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L115-1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R*116-2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R*141-13 à R*141-21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L2122-1 à L2122-3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L3111-1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L2125-1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L47 du code des postes et des communications électroniques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R20-52 du code des postes et des communications électroniques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R554-22 et R554-26 du code de l’environnement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délibération fixant le tarif des redevances dues pour l’occupation du domaine public routier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travaux de pose d’un fourreau de fibre optique sous trottoir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l’état des lieux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Autorisation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[nom du bénéficiaire], est autorisé à exécuter, dans l’emprise du domaine public routier, [voie à préciser], sur le territoire de la commune de [commune], les travaux ci-après : travaux de pose d’un fourreau de fibre optique sous trottoir. Ces travaux sont exécutés du [date de début] au [date de fin] inclus, de [heure de début] à [heure de fin], à charge pour le bénéficiaire de se conformer aux dispositions des articles suivants.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L’entreprise [nom du bénéficiaire] a la charge de la signalisation temporaire de l’emprise du chantier sur le domaine public et répond des conséquences d’un défaut ou d’une insuffisance de cette signalisation. Celle-ci est conforme aux prescriptions de l’instruction interministérielle sur la signalisation routière, 8ᵉ partie « signalisation temporaire », approuvée par l’arrêté du 6 novembre 1992 modifié, dans sa version consolidée au 4 septembre 2025.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Déclarations préalables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travaux ne peuvent commencer qu’après l’envoi aux exploitants de réseaux de la déclaration de projet de travaux, par le maître d’ouvrage, et de la déclaration d’intention de commencement de travaux, par l’entreprise qui les exécute, et la réception de leurs récépissés. L’exploitant répond à la déclaration de projet dans un délai de neuf jours, jours fériés non compris, porté à quinze jours lorsqu’elle n’est pas dématérialisée, et à la déclaration d’intention de commencement de travaux dans un délai de sept jours, porté à neuf jours dans le même cas.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Remblaiement et réfection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assure le remblaiement de la fouille ainsi que les réfections provisoire et définitive de la chaussée, du trottoir et de leurs dépendances, avec des revêtements conformes à ceux existants et selon les règles de l’art. La réfection définitive intervient au plus tard un an après la réfection provisoire. Le bénéficiaire assure ensuite l’entretien de la zone reprise. À défaut d’exécution dans les délais et après mise en demeure, les travaux sont exécutés d’office à ses frais.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Prescriptions de tranchée</w:t>
      </w:r>
    </w:p>
    <w:p>
      <w:pPr>
        <w:pBdr>
          <w:left w:val="single" w:sz="8" w:space="6" w:color="d1d5db"/>
        </w:pBdr>
        <w:spacing w:before="0" w:after="0" w:line="372" w:lineRule="auto"/>
        <w:ind w:left="180"/>
        <w:jc w:val="both"/>
        <w:rPr>
          <w:rFonts w:ascii="Times New Roman" w:hAnsi="Times New Roman" w:cs="Times New Roman"/>
          <w:sz w:val="22"/>
          <w:szCs w:val="22"/>
        </w:rPr>
      </w:pPr>
      <w:r>
        <w:rPr>
          <w:rFonts w:ascii="Times New Roman" w:hAnsi="Times New Roman" w:cs="Times New Roman"/>
          <w:sz w:val="22"/>
          <w:szCs w:val="22"/>
        </w:rPr>
        <w:t xml:space="preserve">Sous trottoir, la génératrice supérieure de la canalisation est placée à 0,80 mètre au minimum au-dessous du niveau du trottoir. Un grillage avertisseur est posé à 0,30 mètre au-dessus de la canalisation. Les tranchées transversales sont réalisées par demi-chaussée et la traversée de chaussée s’effectue par fonçage. La chaussée est sciée à la scie diamantée.</w:t>
      </w:r>
      <w:r>
        <w:rPr>
          <w:rFonts w:ascii="Times New Roman" w:hAnsi="Times New Roman" w:cs="Times New Roman"/>
          <w:color w:val="6b7280"/>
          <w:sz w:val="15"/>
          <w:szCs w:val="15"/>
        </w:rPr>
        <w:t xml:space="preserve"> usage local, à vérifier dans votre règlement de voirie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Précarité et responsabilité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présente autorisation est délivrée à titre personnel, précaire et révocable. Elle ne confère aucun droit réel à son titulaire et ne peut être cédée. Elle peut être retirée à tout moment pour des motifs tenant à la conservation ou à l’utilisation du domaine public, sans que son bénéficiaire puisse prétendre à indemnité. Les droits des tiers sont et demeurent expressément réservés. Le bénéficiaire est responsable, tant vis-à-vis du gestionnaire du domaine que des tiers, des accidents de toute nature qui pourraient résulter de son occupation ou de ses travaux. En cas de retrait, il remet les lieux dans leur état primitif. Le présent arrêté ne dispense pas son bénéficiaire des autorisations ou déclarations exigées par d’autres réglementations, notamment en matière d’urbanisme.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Redevance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L’occupation du domaine public donne lieu au paiement d’une redevance, dans les conditions et selon le tarif fixés par délibération de l’assemblée délibérante du gestionnaire de la voie.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Sanctions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Toute occupation du domaine public routier, tout dépôt et tout travail exécutés sans autorisation, ainsi que toute atteinte à l’intégrité de ce domaine, sont passibles de l’amende prévue pour les contraventions de la cinquième classe par l’article R*116-2 du code de la voirie routière.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Notification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notifié à son bénéficiaire.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11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notification.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12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