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travaux de ravalement de façade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R417-10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L325-1 et suivants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ravalement de façade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 l’occupation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travaux de ravalement de façade.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L’emprise occupée est établie sur le trottoir. La circulation des véhicules n’est pas interrompue.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occupée pendant toute la durée de la mesure, à l’exception des véhicules qui y sont affectés. Les véhicules stationnés en infraction avec le présent article sont considérés comme gênants au sens de l’article R417-10 du code de la route et peuvent être enlevés et mis en fourrière dans les conditions prévues aux articles L325-1 et suivants du code de la route.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10 mètres au moins en amont de l’emprise, dans chaque sens de circulation ; posé sur le trottoir à 0,50 mètre du bord de chaussée en laissant au moins 0,90 mètre libre aux piétons, et sur la chaussée à défaut. Signalisation de position : B6a1, complété des panonceaux M6a et M6f, ce dernier portant les dates et les heures de l’interdiction, au début de la section où le stationnement est interdit, sur chaque côté de la voie que l’interdiction concerne ; K16, entre l’emprise et les circulations, en barrière physique continue sur toute la longueur du chantier. Signalisation de fin : B6a1, complété d’un panonceau M8b, à la fin de la section où le stationnement est interdit, sur les mêmes côtés. La mise en place et la maintenance de la signalisation de restriction et de protection de l’emprise occupée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 l’occupation. Le balisage constitue une barrière physique entre l’emprise occupée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occupée.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