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Permis de stationnement sur le domaine public : travaux de ravalement de façade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L2213-6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L113-2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R*116-2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L2122-1 à L2122-3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L3111-1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L2125-1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délibération fixant le tarif des redevances dues pour l’occupation du domaine public routier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travaux de ravalement de façade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l’état des lieux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Autorisation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[nom du bénéficiaire], est autorisé à occuper le domaine public, [voie à préciser], sur le territoire de la commune de [commune], du [date de début] au [date de fin] inclus, de [heure de début] à [heure de fin], pour l’installation suivante : travaux de ravalement de façade, à charge pour lui de se conformer aux dispositions des articles suivants.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L’entreprise [nom du bénéficiaire] a la charge de la signalisation temporaire de l’emprise occupée sur le domaine public et répond des conséquences d’un défaut ou d’une insuffisance de cette signalisation. Celle-ci est conforme aux prescriptions de l’instruction interministérielle sur la signalisation routière, 8ᵉ partie « signalisation temporaire », approuvée par l’arrêté du 6 novembre 1992 modifié, dans sa version consolidée au 4 septembre 2025.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 l’occupation. Le balisage constitue une barrière physique entre l’emprise occupée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Tenue de l’installation</w:t>
      </w:r>
    </w:p>
    <w:p>
      <w:pPr>
        <w:pBdr>
          <w:left w:val="single" w:sz="8" w:space="6" w:color="d1d5db"/>
        </w:pBdr>
        <w:spacing w:before="0" w:after="0" w:line="372" w:lineRule="auto"/>
        <w:ind w:left="180"/>
        <w:jc w:val="both"/>
        <w:rPr>
          <w:rFonts w:ascii="Times New Roman" w:hAnsi="Times New Roman" w:cs="Times New Roman"/>
          <w:sz w:val="22"/>
          <w:szCs w:val="22"/>
        </w:rPr>
      </w:pPr>
      <w:r>
        <w:rPr>
          <w:rFonts w:ascii="Times New Roman" w:hAnsi="Times New Roman" w:cs="Times New Roman"/>
          <w:sz w:val="22"/>
          <w:szCs w:val="22"/>
        </w:rPr>
        <w:t xml:space="preserve">L’installation est maintenue en bon état, éclairée la nuit et protégée par une signalisation réglementaire. Elle ne fait pas obstacle au libre écoulement des eaux. Le gâchage de mortier sur la chaussée est interdit. Les abords sont maintenus en état de propreté permanente.</w:t>
      </w:r>
      <w:r>
        <w:rPr>
          <w:rFonts w:ascii="Times New Roman" w:hAnsi="Times New Roman" w:cs="Times New Roman"/>
          <w:color w:val="6b7280"/>
          <w:sz w:val="15"/>
          <w:szCs w:val="15"/>
        </w:rPr>
        <w:t xml:space="preserve"> usage local, à vérifier dans votre règlement de voirie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Précarité et responsabilité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présente autorisation est délivrée à titre personnel, précaire et révocable. Elle ne confère aucun droit réel à son titulaire et ne peut être cédée. Elle peut être retirée à tout moment pour des motifs tenant à la conservation ou à l’utilisation du domaine public, sans que son bénéficiaire puisse prétendre à indemnité. Les droits des tiers sont et demeurent expressément réservés. Le bénéficiaire est responsable, tant vis-à-vis du gestionnaire du domaine que des tiers, des accidents de toute nature qui pourraient résulter de son occupation ou de ses travaux. Au terme de l’autorisation ou en cas de retrait, il remet les lieux dans leur état primitif. Le présent arrêté ne dispense pas son bénéficiaire des autorisations ou déclarations exigées par d’autres réglementations, notamment en matière d’urbanisme.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Redevance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L’occupation du domaine public donne lieu au paiement d’une redevance, dans les conditions et selon le tarif fixés par délibération de l’assemblée délibérante du gestionnaire de la voie.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Sanctions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Toute occupation du domaine public routier, tout dépôt et tout travail exécutés sans autorisation, ainsi que toute atteinte à l’intégrité de ce domaine, sont passibles de l’amende prévue pour les contraventions de la cinquième classe par l’article R*116-2 du code de la voirie routière.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Notification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notifié à son bénéficiaire.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notification.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