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Bdr>
          <w:bottom w:val="single" w:sz="12" w:space="4" w:color="111827"/>
        </w:pBdr>
        <w:spacing w:before="0" w:after="0" w:line="372" w:lineRule="auto"/>
        <w:jc w:val="center"/>
        <w:rPr>
          <w:rFonts w:ascii="Times New Roman" w:hAnsi="Times New Roman" w:cs="Times New Roman"/>
          <w:b/>
          <w:spacing w:val="18"/>
          <w:sz w:val="20"/>
          <w:szCs w:val="20"/>
        </w:rPr>
      </w:pPr>
      <w:r>
        <w:rPr>
          <w:rFonts w:ascii="Times New Roman" w:hAnsi="Times New Roman" w:cs="Times New Roman"/>
          <w:b/>
          <w:spacing w:val="18"/>
          <w:sz w:val="20"/>
          <w:szCs w:val="20"/>
        </w:rPr>
        <w:t xml:space="preserve">RÉPUBLIQUE FRANÇAISE</w:t>
      </w:r>
    </w:p>
    <w:p>
      <w:pPr>
        <w:tabs>
          <w:tab w:val="right" w:pos="9638"/>
        </w:tabs>
        <w:spacing w:before="180" w:after="0" w:line="372" w:lineRule="auto"/>
        <w:jc w:val="left"/>
        <w:rPr>
          <w:rFonts w:ascii="Times New Roman" w:hAnsi="Times New Roman" w:cs="Times New Roman"/>
          <w:color w:val="4b5563"/>
          <w:sz w:val="18"/>
          <w:szCs w:val="18"/>
        </w:rPr>
      </w:pPr>
      <w:r>
        <w:rPr>
          <w:rFonts w:ascii="Times New Roman" w:hAnsi="Times New Roman" w:cs="Times New Roman"/>
          <w:color w:val="4b5563"/>
          <w:sz w:val="18"/>
          <w:szCs w:val="18"/>
        </w:rPr>
        <w:t xml:space="preserve">Arrêté n° [numéro à attribuer]</w:t>
      </w:r>
      <w:r>
        <w:rPr>
          <w:rFonts w:ascii="Times New Roman" w:hAnsi="Times New Roman" w:cs="Times New Roman"/>
          <w:color w:val="4b5563"/>
          <w:sz w:val="18"/>
          <w:szCs w:val="18"/>
        </w:rPr>
        <w:tab/>
        <w:t xml:space="preserve">Nomenclature 8.3 Voirie</w:t>
      </w:r>
    </w:p>
    <w:p>
      <w:pPr>
        <w:spacing w:before="360" w:after="0" w:line="372" w:lineRule="auto"/>
        <w:jc w:val="center"/>
        <w:rPr>
          <w:rFonts w:ascii="Times New Roman" w:hAnsi="Times New Roman" w:cs="Times New Roman"/>
          <w:b/>
          <w:caps/>
          <w:spacing w:val="6"/>
          <w:sz w:val="22"/>
          <w:szCs w:val="22"/>
        </w:rPr>
      </w:pPr>
      <w:r>
        <w:rPr>
          <w:rFonts w:ascii="Times New Roman" w:hAnsi="Times New Roman" w:cs="Times New Roman"/>
          <w:b/>
          <w:caps/>
          <w:spacing w:val="6"/>
          <w:sz w:val="22"/>
          <w:szCs w:val="22"/>
        </w:rPr>
        <w:t xml:space="preserve">Arrêté temporaire réglementant la circulation sur le domaine public : prises de vue pour un long métrage</w:t>
      </w:r>
    </w:p>
    <w:p>
      <w:pPr>
        <w:spacing w:before="30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L2213-1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L2213-2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L5211-9-2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L411-1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R110-2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R411-25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R417-10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les articles L325-1 et suivants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l’arrêté interministériel du 24 novembre 1967 modifié relatif à la signalisation des routes et autoroutes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l’instruction interministérielle sur la signalisation routière, 8ᵉ partie « signalisation temporaire », approuvée par l’arrêté du 6 novembre 1992 modifié, dans sa version consolidée au 4 septembre 2025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 règlement de voirie intercommunal en vigueur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 demande formulée par l’entreprise [nom du bénéficiaire], ayant pour objet : prises de vue pour un long métrage ;</w:t>
      </w:r>
    </w:p>
    <w:p>
      <w:pPr>
        <w:spacing w:before="24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Considérant que la configuration des lieux, la nature du tournage et leur empiètement sur le domaine public routier nécessitent, pour garantir les meilleures conditions de sécurité des usagers et des personnes présentes, la modification de l’organisation de la circulation et du stationnement sur cette section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Considérant que rien ne s’oppose à ce qu’il soit fait droit à la demande présentée par l’entreprise [nom du bénéficiaire] ;</w:t>
      </w:r>
    </w:p>
    <w:p>
      <w:pPr>
        <w:spacing w:before="300" w:after="0" w:line="372" w:lineRule="auto"/>
        <w:jc w:val="center"/>
        <w:rPr>
          <w:rFonts w:ascii="Times New Roman" w:hAnsi="Times New Roman" w:cs="Times New Roman"/>
          <w:b/>
          <w:spacing w:val="48"/>
          <w:sz w:val="22"/>
          <w:szCs w:val="22"/>
        </w:rPr>
      </w:pPr>
      <w:r>
        <w:rPr>
          <w:rFonts w:ascii="Times New Roman" w:hAnsi="Times New Roman" w:cs="Times New Roman"/>
          <w:b/>
          <w:spacing w:val="48"/>
          <w:sz w:val="22"/>
          <w:szCs w:val="22"/>
        </w:rPr>
        <w:t xml:space="preserve">ARRÊTE</w:t>
      </w:r>
    </w:p>
    <w:p>
      <w:pPr>
        <w:spacing w:before="30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1er : Objet</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Du [date de début] au [date de fin] inclus, de [heure de début] à [heure de fin], la circulation est réglementée [voie à préciser], sur le territoire de la commune de [commune], en raison de l’opération suivante : prises de vue pour un long métrage.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2 : Emprise sur la voie</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L’emprise du tournage est établie sur le trottoir. La circulation des véhicules n’est pas interrompue.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3 : Stationnement</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stationnement est interdit sur l’emprise du tournage pendant toute la durée de la mesure, à l’exception des véhicules qui y sont affectés. Les véhicules stationnés en infraction avec le présent article sont considérés comme gênants au sens de l’article R417-10 du code de la route et peuvent être enlevés et mis en fourrière dans les conditions prévues aux articles L325-1 et suivants du code de la route.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4 : Signalisation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La signalisation temporaire est conforme aux prescriptions de l’instruction interministérielle sur la signalisation routière, 8ᵉ partie « signalisation temporaire », approuvée par l’arrêté du 6 novembre 1992 modifié, dans sa version consolidée au 4 septembre 2025. Signalisation d’approche : AK5, à 10 mètres au moins en amont de l’emprise, dans chaque sens de circulation ; posé sur le trottoir à 0,50 mètre du bord de chaussée en laissant au moins 0,90 mètre libre aux piétons, et sur la chaussée à défaut. Signalisation de position : B6a1, complété des panonceaux M6a et M6f, ce dernier portant les dates et les heures de l’interdiction, au début de la section où le stationnement est interdit, sur chaque côté de la voie que l’interdiction concerne ; K16, entre l’emprise et les circulations, en barrière physique continue sur toute la longueur du chantier. Signalisation de fin : B6a1, complété d’un panonceau M8b, à la fin de la section où le stationnement est interdit, sur les mêmes côtés. La mise en place et la maintenance de la signalisation de restriction et de protection de l’emprise du tournage sont à la charge et sous la responsabilité de l’entreprise [nom du bénéficiaire]. La signalisation est occultée pendant les périodes où aucune restriction ne persiste et éclairée la nuit dans le cas contraire. Elle est enlevée dès lors qu’ont disparu les motifs qui ont conduit à l’implanter.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5 : Cheminement des piétons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Un cheminement piéton d’une largeur minimale de 1,40 mètre, libre de tout obstacle, est maintenu au droit du tournage. Le balisage constitue une barrière physique entre l’emprise du tournage et les voies de circulation pour véhicules et piétons.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6 : Dérogations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Par dérogation aux dispositions qui précèdent, la circulation demeure autorisée pour les riverains, les véhicules de secours et de lutte contre l’incendie ainsi que les véhicules de collecte des ordures ménagères. L’accès des riverains à leur propriété et des services de secours est maintenu pendant toute la durée de la mesure.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7 : Entrée en vigueur</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Les dispositions définies par le présent arrêté prennent effet le jour de la mise en place de la signalisation.</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8 : Publicité</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est publié dans les conditions prévues par l’article L2131-1 du code général des collectivités territoriales et affiché à chaque extrémité de l’emprise du tournage.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9 : Voies et délais de recours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peut faire l’objet d’un recours gracieux devant son auteur dans le délai de deux mois à compter de sa publication. Un recours contentieux peut être formé devant le tribunal administratif territorialement compétent dans le même délai, le cas échéant à compter de la réponse au recours gracieux. Le tribunal administratif peut être saisi par l’application Télérecours citoyens, accessible sur le site www.telerecours.fr.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10 : Ampliation et exécution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Les agents de la force publique et les services gestionnaires de la voie sont chargés, chacun en ce qui le concerne, de l’exécution du présent arrêté, dont ampliation est adressée à : le bénéficiaire, [nom du bénéficiaire] ; le commandant de la brigade de gendarmerie ou le commissaire de police territorialement compétent ; le directeur du service départemental d’incendie et de secours ; le service chargé de la collecte des déchets.</w:t>
      </w:r>
    </w:p>
    <w:p>
      <w:pPr>
        <w:spacing w:before="480" w:after="0" w:line="372" w:lineRule="auto"/>
        <w:jc w:val="right"/>
        <w:rPr>
          <w:rFonts w:ascii="Times New Roman" w:hAnsi="Times New Roman" w:cs="Times New Roman"/>
          <w:color w:val="4b5563"/>
          <w:sz w:val="21"/>
          <w:szCs w:val="21"/>
        </w:rPr>
      </w:pPr>
      <w:r>
        <w:rPr>
          <w:rFonts w:ascii="Times New Roman" w:hAnsi="Times New Roman" w:cs="Times New Roman"/>
          <w:color w:val="4b5563"/>
          <w:sz w:val="21"/>
          <w:szCs w:val="21"/>
        </w:rPr>
        <w:t xml:space="preserve">Fait à [lieu de signature], le [date de signature].</w:t>
      </w:r>
    </w:p>
    <w:p>
      <w:pPr>
        <w:spacing w:before="60" w:after="0" w:line="372" w:lineRule="auto"/>
        <w:jc w:val="right"/>
        <w:rPr>
          <w:rFonts w:ascii="Times New Roman" w:hAnsi="Times New Roman" w:cs="Times New Roman"/>
          <w:b/>
          <w:sz w:val="21"/>
          <w:szCs w:val="21"/>
        </w:rPr>
      </w:pPr>
      <w:r>
        <w:rPr>
          <w:rFonts w:ascii="Times New Roman" w:hAnsi="Times New Roman" w:cs="Times New Roman"/>
          <w:b/>
          <w:sz w:val="21"/>
          <w:szCs w:val="21"/>
        </w:rPr>
        <w:t xml:space="preserve">Le Président,</w:t>
      </w: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sectPr>
      <w:pgSz w:w="11906" w:h="16838"/>
      <w:pgMar w:top="1134" w:right="1134" w:bottom="1134" w:left="1134" w:header="708" w:footer="708" w:gutter="0"/>
    </w:sectPr>
  </w:body>
</w:document>
</file>

<file path=word/_rels/document.xml.rels><?xml version="1.0" encoding="UTF-8" standalone="yes"?><Relationships xmlns="http://schemas.openxmlformats.org/package/2006/relationships"></Relationships>
</file>