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installation d’un échafaudage de ravalement de façade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R417-10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L325-1 et suivants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installation d’un échafaudage de ravalement de façade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 l’occupation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l’opération suivante : installation d’un échafaudage de ravalement de façade.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chaussée est rétrécie au droit de l’occupation ; le croisement des véhicules y demeure possible. Les dépassements sont interdits sur l’emprise occupée, quelles que soient les voies laissées libres à la circulation.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occupée pendant toute la durée de la mesure, à l’exception des véhicules qui y sont affectés. Les véhicules stationnés en infraction avec le présent article sont considérés comme gênants au sens de l’article R417-10 du code de la route et peuvent être enlevés et mis en fourrière dans les conditions prévues aux articles L325-1 et suivants du code de la route.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20 mètres au moins en amont de l’emprise, dans chaque sens de circulation ; posé sur le trottoir à 0,50 mètre du bord de chaussée en laissant au moins 0,90 mètre libre aux piétons, et sur la chaussée à défaut ; B3, à 10 mètres au moins en amont de l’emprise, dans chaque sens de circulation. Signalisation de position : B6a1, complété des panonceaux M6a et M6f, ce dernier portant les dates et les heures de l’interdiction, au début de la section où le stationnement est interdit, sur chaque côté de la voie que l’interdiction concerne ; B21a, au moins deux en tête du biseau lorsque celui-ci est réalisé au moyen de cônes K5a ; K8, en tête de la zone neutralisée, orienté vers la voie laissée libre ; K5c, en alignement le long de l’emprise ; K5a, en biseau à l’entrée de la zone neutralisée, puis en balisage longitudinal ; K2 portant la mention « FIN DE CHANTIER », en barrage frontal de l’emprise ; seul le dernier barrage porte la mention à son revers. Signalisation de fin : B31, quelques dizaines de mètres après la fin de l’emprise, dans chaque sens de circulation ; B6a1, complété d’un panonceau M8b, à la fin de la section où le stationnement est interdit, sur les mêmes côtés. La mise en place et la maintenance de la signalisation de restriction et de protection de l’emprise occupée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 l’occupation. Le balisage constitue une barrière physique entre l’emprise occupée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occupée.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