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réparation d’urgence d’une canalisation d’eau potable rompue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réparation d’urgence d’une canalisation d’eau potable rompue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réparation d’urgence d’une canalisation d’eau potable 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chaussée est rétrécie au droit des travaux ; le croisement des véhicules y demeure possible. Les dépassements sont interdits sur l’emprise du chantier, quelles que soient les voies laissées libres à la circulation.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AK14, à 20 mètres au moins en amont de l’emprise, dans chaque sens de circulation ; posé sur le trottoir à 0,50 mètre du bord de chaussée en laissant au moins 0,90 mètre libre aux piétons, et sur la chaussée à défaut ; B3, à 10 mètres au moins en amont de l’emprise, dans chaque sens de circulation. Signalisation de position : B21a, au moins deux en tête du biseau lorsque celui-ci est réalisé au moyen de cônes K5a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