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Permission de voirie sur le domaine public : réparation d’urgence d’une canalisation d’eau potable rompue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R*141-13 à R*141-21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R554-22 et R554-26 du code de l’environnement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réparation d’urgence d’une canalisation d’eau potable rompue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exécuter, dans l’emprise du domaine public routier, [voie à préciser], sur le territoire de la commune de [commune], les travaux ci-après : réparation d’urgence d’une canalisation d’eau potable rompue. Ces travaux sont exécutés du [date de début] au [date de fin] inclus, de [heure de début] à [heure de fin], à charge pour le bénéficiaire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Déclarations préalables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travaux ne peuvent commencer qu’après l’envoi aux exploitants de réseaux de la déclaration de projet de travaux, par le maître d’ouvrage, et de la déclaration d’intention de commencement de travaux, par l’entreprise qui les exécute, et la réception de leurs récépissés. L’exploitant répond à la déclaration de projet dans un délai de neuf jours, jours fériés non compris, porté à quinze jours lorsqu’elle n’est pas dématérialisée, et à la déclaration d’intention de commencement de travaux dans un délai de sept jours, porté à neuf jours dans le même cas.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Remblaiement et réfection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assure le remblaiement de la fouille ainsi que les réfections provisoire et définitive de la chaussée, du trottoir et de leurs dépendances, avec des revêtements conformes à ceux existants et selon les règles de l’art. La réfection définitive intervient au plus tard un an après la réfection provisoire. Le bénéficiaire assure ensuite l’entretien de la zone reprise. À défaut d’exécution dans les délais et après mise en demeure, les travaux sont exécutés d’office à ses frais.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11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