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remplacement d’une conduite d’eau potable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départemental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remplacement d’une conduite d’eau potable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l’accord technique du gestionnaire de la voie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remplacement d’une conduite d’eau potable.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Circulation alternée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est réduite à une seule voie. L’alternat est réglé par signaux tricolores d’alternat temporaire KR11j et KR11v. Au cas où la régulation automatique déséquilibrerait par trop les files d’attente, un alternat manuel est mis en place. Les dépassements sont interdits sur l’emprise du chantier, quelles que soient les voies laissées libres à la circulation.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30 mètres au moins en amont de l’emprise, dans chaque sens de circulation ; posé sur le trottoir à 0,50 mètre du bord de chaussée en laissant au moins 0,90 mètre libre aux piétons, et sur la chaussée à défaut ; KC1 portant la mention « CIRCULATION ALTERNÉE », à 20 mètres au moins en amont de l’emprise, dans chaque sens de circulation ; B3, à 20 mètres au moins en amont de l’emprise, dans chaque sens de circulation ; AK17, à 10 mètres au moins en amont de l’emprise, dans chaque sens de circulation. Signalisation de position : KR11, de part et d’autre de la zone, à 30 mètres de l’extrémité de l’emprise du côté non affecté, l’axe du feu inférieur à plus de 2 mètres du sol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